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Impressum</w:t>
      </w:r>
    </w:p>
    <w:p>
      <w:r>
        <w:rPr>
          <w:b/>
          <w:color w:val="426E44"/>
          <w:sz w:val="16"/>
        </w:rPr>
        <w:t>GERMAN / DEUTSCH</w:t>
      </w:r>
    </w:p>
    <w:p>
      <w:r>
        <w:rPr>
          <w:b/>
        </w:rPr>
        <w:t>PUBLIC LEGAL TEXTS · VERSION 29 OCTOBER 2026</w:t>
      </w:r>
      <w:r>
        <w:br/>
        <w:t>This collection contains the published German and English website legal texts. Customer-specific Data Processing Agreements are concluded separately; the security description does not claim independent certification.</w:t>
      </w:r>
    </w:p>
    <w:p>
      <w:pPr>
        <w:pStyle w:val="Heading1"/>
      </w:pPr>
      <w:r>
        <w:rPr>
          <w:b w:val="0"/>
          <w:i w:val="0"/>
        </w:rPr>
        <w:t>Kontolöschung anfragen</w:t>
      </w:r>
    </w:p>
    <w:p>
      <w:r>
        <w:rPr>
          <w:b w:val="0"/>
          <w:i w:val="0"/>
        </w:rPr>
        <w:t>Bereite deine E-Mail an office@necesso.ai vor.</w:t>
      </w:r>
    </w:p>
    <w:p>
      <w:pPr>
        <w:pStyle w:val="Heading1"/>
      </w:pPr>
      <w:r>
        <w:rPr>
          <w:b w:val="0"/>
          <w:i w:val="0"/>
        </w:rPr>
        <w:t>Webseitenbetreiber:</w:t>
      </w:r>
    </w:p>
    <w:p>
      <w:r>
        <w:rPr>
          <w:b w:val="0"/>
          <w:i w:val="0"/>
        </w:rPr>
        <w:t>CONCEPTS Gabriela Prett-Preza KG</w:t>
      </w:r>
    </w:p>
    <w:p>
      <w:r>
        <w:rPr>
          <w:b w:val="0"/>
          <w:i w:val="0"/>
        </w:rPr>
        <w:t>Necesso ist ein Produkt der CONCEPTS Gabriela Prett-Preza KG.</w:t>
      </w:r>
    </w:p>
    <w:p>
      <w:pPr>
        <w:pStyle w:val="Heading1"/>
      </w:pPr>
      <w:r>
        <w:rPr>
          <w:b w:val="0"/>
          <w:i w:val="0"/>
        </w:rPr>
        <w:t>Firmenbuchnummer:</w:t>
      </w:r>
    </w:p>
    <w:p>
      <w:r>
        <w:rPr>
          <w:b w:val="0"/>
          <w:i w:val="0"/>
        </w:rPr>
        <w:t>FN 462437f</w:t>
      </w:r>
    </w:p>
    <w:p>
      <w:pPr>
        <w:pStyle w:val="Heading1"/>
      </w:pPr>
      <w:r>
        <w:rPr>
          <w:b w:val="0"/>
          <w:i w:val="0"/>
        </w:rPr>
        <w:t>Firmenbuchgericht:</w:t>
      </w:r>
    </w:p>
    <w:p>
      <w:r>
        <w:rPr>
          <w:b w:val="0"/>
          <w:i w:val="0"/>
        </w:rPr>
        <w:t>Handelsgericht Wien</w:t>
      </w:r>
    </w:p>
    <w:p>
      <w:pPr>
        <w:pStyle w:val="Heading1"/>
      </w:pPr>
      <w:r>
        <w:rPr>
          <w:b w:val="0"/>
          <w:i w:val="0"/>
        </w:rPr>
        <w:t>Vertretungsberechtigte Person:</w:t>
      </w:r>
    </w:p>
    <w:p>
      <w:r>
        <w:rPr>
          <w:b w:val="0"/>
          <w:i w:val="0"/>
        </w:rPr>
        <w:t>Manolo D. Preza</w:t>
      </w:r>
    </w:p>
    <w:p>
      <w:pPr>
        <w:pStyle w:val="Heading1"/>
      </w:pPr>
      <w:r>
        <w:rPr>
          <w:b w:val="0"/>
          <w:i w:val="0"/>
        </w:rPr>
        <w:t>Anschrift:</w:t>
      </w:r>
    </w:p>
    <w:p>
      <w:r>
        <w:rPr>
          <w:b w:val="0"/>
          <w:i w:val="0"/>
        </w:rPr>
        <w:t>Illekgasse 8/16, 1150 Wien, Österreich</w:t>
      </w:r>
    </w:p>
    <w:p>
      <w:pPr>
        <w:pStyle w:val="Heading1"/>
      </w:pPr>
      <w:r>
        <w:rPr>
          <w:b w:val="0"/>
          <w:i w:val="0"/>
        </w:rPr>
        <w:t>Telefon:</w:t>
      </w:r>
    </w:p>
    <w:p>
      <w:r>
        <w:rPr>
          <w:b w:val="0"/>
          <w:i w:val="0"/>
        </w:rPr>
        <w:t>+ 43 676 972 9492</w:t>
      </w:r>
    </w:p>
    <w:p>
      <w:pPr>
        <w:pStyle w:val="Heading1"/>
      </w:pPr>
      <w:r>
        <w:rPr>
          <w:b w:val="0"/>
          <w:i w:val="0"/>
        </w:rPr>
        <w:t>E-Mail:</w:t>
      </w:r>
    </w:p>
    <w:p>
      <w:r>
        <w:rPr>
          <w:b w:val="0"/>
          <w:i w:val="0"/>
        </w:rPr>
        <w:t>office@necesso.ai</w:t>
      </w:r>
    </w:p>
    <w:p>
      <w:pPr>
        <w:pStyle w:val="Heading1"/>
      </w:pPr>
      <w:r>
        <w:rPr>
          <w:b w:val="0"/>
          <w:i w:val="0"/>
        </w:rPr>
        <w:t>Webseite:</w:t>
      </w:r>
    </w:p>
    <w:p>
      <w:r>
        <w:rPr>
          <w:b w:val="0"/>
          <w:i w:val="0"/>
        </w:rPr>
        <w:t>necesso.ai</w:t>
      </w:r>
    </w:p>
    <w:p>
      <w:pPr>
        <w:pStyle w:val="Heading1"/>
      </w:pPr>
      <w:r>
        <w:rPr>
          <w:b w:val="0"/>
          <w:i w:val="0"/>
        </w:rPr>
        <w:t>UID-Nummer:</w:t>
      </w:r>
    </w:p>
    <w:p>
      <w:r>
        <w:rPr>
          <w:b w:val="0"/>
          <w:i w:val="0"/>
        </w:rPr>
        <w:t>U71735456</w:t>
      </w:r>
    </w:p>
    <w:p>
      <w:pPr>
        <w:pStyle w:val="Heading1"/>
      </w:pPr>
      <w:r>
        <w:rPr>
          <w:b w:val="0"/>
          <w:i w:val="0"/>
        </w:rPr>
        <w:t>Gewerbeaufsichtbehörde:</w:t>
      </w:r>
    </w:p>
    <w:p>
      <w:r>
        <w:rPr>
          <w:b w:val="0"/>
          <w:i w:val="0"/>
        </w:rPr>
        <w:t>Wien</w:t>
      </w:r>
    </w:p>
    <w:p>
      <w:pPr>
        <w:pStyle w:val="Heading1"/>
      </w:pPr>
      <w:r>
        <w:rPr>
          <w:b w:val="0"/>
          <w:i w:val="0"/>
        </w:rPr>
        <w:t>Mitgliedschaften:</w:t>
      </w:r>
    </w:p>
    <w:p>
      <w:r>
        <w:rPr>
          <w:b w:val="0"/>
          <w:i w:val="0"/>
        </w:rPr>
        <w:t>Mitglied der Wirtschaftskammer Österreich (WKO)</w:t>
      </w:r>
    </w:p>
    <w:p>
      <w:pPr>
        <w:pStyle w:val="Heading1"/>
      </w:pPr>
      <w:r>
        <w:rPr>
          <w:b w:val="0"/>
          <w:i w:val="0"/>
        </w:rPr>
        <w:t>Anwendbare Rechtsvorschrift:</w:t>
      </w:r>
    </w:p>
    <w:p>
      <w:r>
        <w:rPr>
          <w:b w:val="0"/>
          <w:i w:val="0"/>
        </w:rPr>
        <w:t>www.ris.bka.gv.at</w:t>
      </w:r>
    </w:p>
    <w:p>
      <w:pPr>
        <w:pStyle w:val="Heading1"/>
      </w:pPr>
      <w:r>
        <w:rPr>
          <w:b w:val="0"/>
          <w:i w:val="0"/>
        </w:rPr>
        <w:t>Urheberrecht</w:t>
      </w:r>
    </w:p>
    <w:p>
      <w:r>
        <w:rPr>
          <w:b w:val="0"/>
          <w:i w:val="0"/>
        </w:rPr>
        <w:t>Die Inhalte dieser Webseite unterliegen, soweit dies rechtlich möglich ist, diversen Schutzrechten (z. B. dem Urheberrecht). Jegliche Verwendung/Verbreitung von bereitgestelltem Material, welche urheberrechtlich untersagt ist, bedarf schriftlicher Zustimmung des Webseitenbetreibers.</w:t>
      </w:r>
    </w:p>
    <w:p>
      <w:pPr>
        <w:pStyle w:val="Heading1"/>
      </w:pPr>
      <w:r>
        <w:rPr>
          <w:b w:val="0"/>
          <w:i w:val="0"/>
        </w:rPr>
        <w:t>Haftungsausschluss</w:t>
      </w:r>
    </w:p>
    <w:p>
      <w:r>
        <w:rPr>
          <w:b w:val="0"/>
          <w:i w:val="0"/>
        </w:rPr>
        <w:t xml:space="preserve">Trotz sorgfältiger inhaltlicher Kontrolle übernimmt der Webseitenbetreiber von </w:t>
      </w:r>
      <w:r>
        <w:rPr>
          <w:b w:val="0"/>
          <w:i w:val="0"/>
        </w:rPr>
        <w:t>necesso.ai</w:t>
      </w:r>
      <w:r>
        <w:rPr>
          <w:b w:val="0"/>
          <w:i w:val="0"/>
        </w:rPr>
        <w:t>, keine Haftung für die Inhalte externer Links. Für den Inhalt der verlinkten Seiten sind ausschließlich deren Betreiber verantwortlich. Sollten Sie dennoch auf ausgehende Links aufmerksam werden, welche auf eine Webseite mit rechtswidriger Tätigkeit/Information verweisen, ersuchen wir um dementsprechenden Hinweis (</w:t>
      </w:r>
      <w:r>
        <w:rPr>
          <w:b w:val="0"/>
          <w:i w:val="0"/>
        </w:rPr>
        <w:t>office@necesso.ai</w:t>
      </w:r>
      <w:r>
        <w:rPr>
          <w:b w:val="0"/>
          <w:i w:val="0"/>
        </w:rPr>
        <w:t>), um diesen nach § 17 Abs. 2 ECG umgehend zu entfernen.</w:t>
      </w:r>
    </w:p>
    <w:p>
      <w:r>
        <w:rPr>
          <w:b w:val="0"/>
          <w:i w:val="0"/>
        </w:rPr>
        <w:t>Die Urheberrechte Dritter werden vom Betreiber mit bestmöglicher Sorgfalt beachtet. Sollten Sie trotzdem auf eine Urheberrechtsverletzung aufmerksam werden, bitten wir um einen entsprechenden Hinweis an (</w:t>
      </w:r>
      <w:r>
        <w:rPr>
          <w:b w:val="0"/>
          <w:i w:val="0"/>
        </w:rPr>
        <w:t>office@necesso.ai</w:t>
      </w:r>
      <w:r>
        <w:rPr>
          <w:b w:val="0"/>
          <w:i w:val="0"/>
        </w:rPr>
        <w:t>). Bei Bekanntwerden derartiger Rechtsverletzungen werden wir den betroffenen Inhalt umgehend entfernen.</w:t>
      </w:r>
    </w:p>
    <w:p>
      <w:r>
        <w:rPr>
          <w:b w:val="0"/>
          <w:i w:val="0"/>
        </w:rPr>
        <w:t xml:space="preserve">Quelle: </w:t>
      </w:r>
      <w:r>
        <w:rPr>
          <w:b w:val="0"/>
          <w:i w:val="0"/>
        </w:rPr>
        <w:t>fairesrecht.at</w:t>
      </w:r>
    </w:p>
    <w:p>
      <w:pPr>
        <w:pStyle w:val="Title"/>
        <w:pageBreakBefore/>
      </w:pPr>
      <w:r>
        <w:t>Datenschutzerklärung</w:t>
      </w:r>
    </w:p>
    <w:p>
      <w:r>
        <w:rPr>
          <w:b/>
          <w:color w:val="426E44"/>
          <w:sz w:val="16"/>
        </w:rPr>
        <w:t>GERMAN / DEUTSCH</w:t>
      </w:r>
    </w:p>
    <w:p>
      <w:pPr>
        <w:pStyle w:val="Heading1"/>
      </w:pPr>
      <w:r>
        <w:rPr>
          <w:b w:val="0"/>
          <w:i w:val="0"/>
        </w:rPr>
        <w:t>1. Anwendungsbereich</w:t>
      </w:r>
    </w:p>
    <w:p>
      <w:r>
        <w:rPr>
          <w:b w:val="0"/>
          <w:i w:val="0"/>
        </w:rPr>
        <w:t>Necesso ist ein Produkt der CONCEPTS Gabriela Prett-Preza KG. Diese Datenschutzerklärung gilt für alle personenbezogenen Daten, die wir im Unternehmen verarbeiten, und für Daten, die von uns beauftragte Firmen (Auftragsverarbeiter) verarbeiten. Personenbezogene Daten sind Informationen im Sinne des Art. 4 Nr. 1 DSGVO, zum Beispiel Name, E-Mail-Adresse und Anschrift einer Person.</w:t>
      </w:r>
    </w:p>
    <w:p>
      <w:r>
        <w:rPr>
          <w:b w:val="0"/>
          <w:i w:val="0"/>
        </w:rPr>
        <w:t>Der Anwendungsbereich umfasst:</w:t>
      </w:r>
    </w:p>
    <w:p>
      <w:pPr>
        <w:pStyle w:val="ListBullet"/>
      </w:pPr>
      <w:r>
        <w:rPr>
          <w:b w:val="0"/>
          <w:i w:val="0"/>
        </w:rPr>
        <w:t xml:space="preserve">alle Onlineauftritte, insbesondere die Website </w:t>
      </w:r>
      <w:r>
        <w:rPr>
          <w:b w:val="0"/>
          <w:i w:val="0"/>
        </w:rPr>
        <w:t>necesso.ai</w:t>
      </w:r>
    </w:p>
    <w:p>
      <w:pPr>
        <w:pStyle w:val="ListBullet"/>
      </w:pPr>
      <w:r>
        <w:rPr>
          <w:b w:val="0"/>
          <w:i w:val="0"/>
        </w:rPr>
        <w:t>die Necesso-Plattform (Web-Anwendung) für Handwerksbetriebe, inklusive KI-Assistenten, WhatsApp-Anbindung, Telefonie-Funktionen und Bankanbindung</w:t>
      </w:r>
    </w:p>
    <w:p>
      <w:pPr>
        <w:pStyle w:val="ListBullet"/>
      </w:pPr>
      <w:r>
        <w:rPr>
          <w:b w:val="0"/>
          <w:i w:val="0"/>
        </w:rPr>
        <w:t>die mobilen Necesso-Apps für iOS und Android</w:t>
      </w:r>
    </w:p>
    <w:p>
      <w:pPr>
        <w:pStyle w:val="ListBullet"/>
      </w:pPr>
      <w:r>
        <w:rPr>
          <w:b w:val="0"/>
          <w:i w:val="0"/>
        </w:rPr>
        <w:t>Social-Media-Auftritte und E-Mail-Kommunikation</w:t>
      </w:r>
    </w:p>
    <w:p>
      <w:pPr>
        <w:pStyle w:val="Heading1"/>
      </w:pPr>
      <w:r>
        <w:rPr>
          <w:b w:val="0"/>
          <w:i w:val="0"/>
        </w:rPr>
        <w:t>2. Rechtsgrundlagen</w:t>
      </w:r>
    </w:p>
    <w:p>
      <w:r>
        <w:rPr>
          <w:b w:val="0"/>
          <w:i w:val="0"/>
        </w:rPr>
        <w:t xml:space="preserve">Wir verarbeiten Daten auf Grundlage der Datenschutz-Grundverordnung, Verordnung (EU) 2016/679 vom 27. April 2016. Sie ist auf </w:t>
      </w:r>
      <w:r>
        <w:rPr>
          <w:b w:val="0"/>
          <w:i w:val="0"/>
        </w:rPr>
        <w:t>EUR-Lex</w:t>
      </w:r>
      <w:r>
        <w:rPr>
          <w:b w:val="0"/>
          <w:i w:val="0"/>
        </w:rPr>
        <w:t xml:space="preserve"> abrufbar.</w:t>
      </w:r>
    </w:p>
    <w:p>
      <w:r>
        <w:rPr>
          <w:b w:val="0"/>
          <w:i w:val="0"/>
        </w:rPr>
        <w:t>Wir verarbeiten Ihre Daten nur, wenn mindestens eine dieser Bedingungen zutrifft:</w:t>
      </w:r>
    </w:p>
    <w:p>
      <w:pPr>
        <w:pStyle w:val="ListBullet"/>
      </w:pPr>
      <w:r>
        <w:rPr>
          <w:b/>
          <w:i w:val="0"/>
        </w:rPr>
        <w:t>Einwilligung</w:t>
      </w:r>
      <w:r>
        <w:rPr>
          <w:b w:val="0"/>
          <w:i w:val="0"/>
        </w:rPr>
        <w:t xml:space="preserve"> (Art. 6 Abs. 1 lit. a DSGVO): Sie haben eingewilligt, soweit rechtlich erforderlich für die Aufzeichnung eines Anrufs oder in das Laden externer Schriftarten.</w:t>
      </w:r>
    </w:p>
    <w:p>
      <w:pPr>
        <w:pStyle w:val="ListBullet"/>
      </w:pPr>
      <w:r>
        <w:rPr>
          <w:b/>
          <w:i w:val="0"/>
        </w:rPr>
        <w:t>Vertrag</w:t>
      </w:r>
      <w:r>
        <w:rPr>
          <w:b w:val="0"/>
          <w:i w:val="0"/>
        </w:rPr>
        <w:t xml:space="preserve"> (Art. 6 Abs. 1 lit. b DSGVO): Die Verarbeitung ist zur Erfüllung eines Vertrags oder vorvertraglicher Maßnahmen nötig, zum Beispiel für die Bereitstellung der Necesso-Plattform.</w:t>
      </w:r>
    </w:p>
    <w:p>
      <w:pPr>
        <w:pStyle w:val="ListBullet"/>
      </w:pPr>
      <w:r>
        <w:rPr>
          <w:b/>
          <w:i w:val="0"/>
        </w:rPr>
        <w:t>Rechtliche Verpflichtung</w:t>
      </w:r>
      <w:r>
        <w:rPr>
          <w:b w:val="0"/>
          <w:i w:val="0"/>
        </w:rPr>
        <w:t xml:space="preserve"> (Art. 6 Abs. 1 lit. c DSGVO): zum Beispiel die gesetzliche Aufbewahrung von Rechnungen.</w:t>
      </w:r>
    </w:p>
    <w:p>
      <w:pPr>
        <w:pStyle w:val="ListBullet"/>
      </w:pPr>
      <w:r>
        <w:rPr>
          <w:b/>
          <w:i w:val="0"/>
        </w:rPr>
        <w:t>Berechtigte Interessen</w:t>
      </w:r>
      <w:r>
        <w:rPr>
          <w:b w:val="0"/>
          <w:i w:val="0"/>
        </w:rPr>
        <w:t xml:space="preserve"> (Art. 6 Abs. 1 lit. f DSGVO): zum Beispiel der sichere und wirtschaftliche Betrieb unserer Website und Plattform.</w:t>
      </w:r>
    </w:p>
    <w:p>
      <w:r>
        <w:rPr>
          <w:b w:val="0"/>
          <w:i w:val="0"/>
        </w:rPr>
        <w:t>Andere Rechtsgrundlagen (öffentliches Interesse, lebenswichtige Interessen) kommen bei uns in der Regel nicht vor. Falls doch, weisen wir sie an der jeweiligen Stelle aus.</w:t>
      </w:r>
    </w:p>
    <w:p>
      <w:r>
        <w:rPr>
          <w:b w:val="0"/>
          <w:i w:val="0"/>
        </w:rPr>
        <w:t>Zusätzlich gelten nationale Gesetze: in Österreich das Datenschutzgesetz (DSG), in Deutschland das Bundesdatenschutzgesetz (BDSG).</w:t>
      </w:r>
    </w:p>
    <w:p>
      <w:pPr>
        <w:pStyle w:val="Heading1"/>
      </w:pPr>
      <w:r>
        <w:rPr>
          <w:b w:val="0"/>
          <w:i w:val="0"/>
        </w:rPr>
        <w:t>3. Verantwortlicher und unsere Rolle</w:t>
      </w:r>
    </w:p>
    <w:p>
      <w:r>
        <w:rPr>
          <w:b w:val="0"/>
          <w:i w:val="0"/>
        </w:rPr>
        <w:t>Verantwortlich im Sinne von Art. 4 Nr. 7 DSGVO ist:</w:t>
      </w:r>
    </w:p>
    <w:p>
      <w:r>
        <w:rPr>
          <w:b w:val="0"/>
          <w:i w:val="0"/>
        </w:rPr>
        <w:t>CONCEPTS Gabriela Prett-Preza KG (Anbieterin von Necesso)</w:t>
      </w:r>
      <w:r>
        <w:br/>
      </w:r>
      <w:r>
        <w:rPr>
          <w:b w:val="0"/>
          <w:i w:val="0"/>
        </w:rPr>
        <w:t>Illekgasse 8/16, 1150 Wien, Österreich</w:t>
      </w:r>
      <w:r>
        <w:br/>
      </w:r>
      <w:r>
        <w:rPr>
          <w:b w:val="0"/>
          <w:i w:val="0"/>
        </w:rPr>
        <w:t>Firmenbuchnummer: FN 462437f, Handelsgericht Wien</w:t>
      </w:r>
      <w:r>
        <w:br/>
      </w:r>
      <w:r>
        <w:rPr>
          <w:b w:val="0"/>
          <w:i w:val="0"/>
        </w:rPr>
        <w:t>Telefon: +43 676 972 9492</w:t>
      </w:r>
      <w:r>
        <w:br/>
      </w:r>
      <w:r>
        <w:rPr>
          <w:b w:val="0"/>
          <w:i w:val="0"/>
        </w:rPr>
        <w:t xml:space="preserve">E-Mail: </w:t>
      </w:r>
      <w:r>
        <w:rPr>
          <w:b w:val="0"/>
          <w:i w:val="0"/>
        </w:rPr>
        <w:t>office@necesso.ai</w:t>
      </w:r>
      <w:r>
        <w:br/>
      </w:r>
      <w:r>
        <w:rPr>
          <w:b w:val="0"/>
          <w:i w:val="0"/>
        </w:rPr>
        <w:t>Vertretungsberechtigte Person: Manolo D. Preza</w:t>
      </w:r>
      <w:r>
        <w:br/>
      </w:r>
      <w:r>
        <w:rPr>
          <w:b w:val="0"/>
          <w:i w:val="0"/>
        </w:rPr>
        <w:t xml:space="preserve">Impressum: </w:t>
      </w:r>
      <w:r>
        <w:rPr>
          <w:b w:val="0"/>
          <w:i w:val="0"/>
        </w:rPr>
        <w:t>necesso.ai/impressum</w:t>
      </w:r>
    </w:p>
    <w:p>
      <w:r>
        <w:rPr>
          <w:b/>
          <w:i w:val="0"/>
        </w:rPr>
        <w:t>Zwei Rollen:</w:t>
      </w:r>
      <w:r>
        <w:rPr>
          <w:b w:val="0"/>
          <w:i w:val="0"/>
        </w:rPr>
        <w:t xml:space="preserve"> Für die Website, Ihr Benutzerkonto, Vertragsabwicklung und Kommunikation mit uns sind wir Verantwortlicher. Wenn ein Handwerksbetrieb über die Necesso-Plattform Daten seiner eigenen Kundinnen und Kunden verarbeitet (zum Beispiel WhatsApp-Nachrichten, Anrufe, Aufträge, Kontobewegungen), ist der Handwerksbetrieb der Verantwortliche. Wir verarbeiten diese Daten dann als Auftragsverarbeiter nach Art. 28 DSGVO, auf Grundlage eines Auftragsverarbeitungsvertrags (AVV). Betroffene wenden sich in diesem Fall zuerst an den jeweiligen Handwerksbetrieb; wir unterstützen ihn bei der Beantwortung.</w:t>
      </w:r>
    </w:p>
    <w:p>
      <w:r>
        <w:rPr>
          <w:b/>
          <w:i w:val="0"/>
        </w:rPr>
        <w:t>Mitarbeitereinstufungen:</w:t>
      </w:r>
      <w:r>
        <w:rPr>
          <w:b w:val="0"/>
          <w:i w:val="0"/>
        </w:rPr>
        <w:t xml:space="preserve"> Dienstgrade und Bewertungen von Beschäftigten eines Kundenbetriebs sind personenbezogene Daten. Einsehbar sind diese Informationen nur für Inhaber und Führungskräfte desselben Betriebs. Der Betrieb ist Verantwortlicher, Necesso ist Auftragsverarbeiter.</w:t>
      </w:r>
    </w:p>
    <w:p>
      <w:pPr>
        <w:pStyle w:val="Heading1"/>
      </w:pPr>
      <w:r>
        <w:rPr>
          <w:b w:val="0"/>
          <w:i w:val="0"/>
        </w:rPr>
        <w:t>4. Speicherdauer</w:t>
      </w:r>
    </w:p>
    <w:p>
      <w:pPr>
        <w:pStyle w:val="ListBullet"/>
      </w:pPr>
      <w:r>
        <w:rPr>
          <w:b/>
          <w:i w:val="0"/>
        </w:rPr>
        <w:t>Geschäftsdaten</w:t>
      </w:r>
      <w:r>
        <w:rPr>
          <w:b w:val="0"/>
          <w:i w:val="0"/>
        </w:rPr>
        <w:t xml:space="preserve"> eines Betriebs: für die Dauer des Vertrags; danach</w:t>
        <w:br/>
        <w:t>gelöscht wie im Auftragsverarbeitungsvertrag beschrieben.</w:t>
      </w:r>
    </w:p>
    <w:p>
      <w:pPr>
        <w:pStyle w:val="ListBullet"/>
      </w:pPr>
      <w:r>
        <w:rPr>
          <w:b/>
          <w:i w:val="0"/>
        </w:rPr>
        <w:t>Rechnungen und andere Buchhaltungsunterlagen</w:t>
      </w:r>
      <w:r>
        <w:rPr>
          <w:b w:val="0"/>
          <w:i w:val="0"/>
        </w:rPr>
        <w:t>: sieben Jahre</w:t>
        <w:br/>
        <w:t>(§ 132 BAO). Auch nach der Löschung einer Person bleiben sie erhalten und</w:t>
        <w:br/>
        <w:t>zeigen eine neutrale Bezeichnung; sie können die Person weiterhin erkennbar</w:t>
        <w:br/>
        <w:t>machen und werden nur für diesen Zeitraum aufbewahrt.</w:t>
      </w:r>
    </w:p>
    <w:p>
      <w:pPr>
        <w:pStyle w:val="ListBullet"/>
      </w:pPr>
      <w:r>
        <w:rPr>
          <w:b/>
          <w:i w:val="0"/>
        </w:rPr>
        <w:t>Ausgestellte Dokumente</w:t>
      </w:r>
      <w:r>
        <w:rPr>
          <w:b w:val="0"/>
          <w:i w:val="0"/>
        </w:rPr>
        <w:t xml:space="preserve"> werden so aufbewahrt, wie sie ausgestellt wurden.</w:t>
      </w:r>
    </w:p>
    <w:p>
      <w:pPr>
        <w:pStyle w:val="ListBullet"/>
      </w:pPr>
      <w:r>
        <w:rPr>
          <w:b/>
          <w:i w:val="0"/>
        </w:rPr>
        <w:t>Löschung einer Person</w:t>
      </w:r>
      <w:r>
        <w:rPr>
          <w:b w:val="0"/>
          <w:i w:val="0"/>
        </w:rPr>
        <w:t>: Eine Person mit vollen Rechten im Betrieb kann</w:t>
        <w:br/>
        <w:t>eine Kundin, einen Kunden oder eine ausgeschiedene beschäftigte Person</w:t>
        <w:br/>
        <w:t>löschen; die Daten werden gelöscht, oder erkennbare Angaben werden durch eine</w:t>
        <w:br/>
        <w:t>neutrale Bezeichnung ersetzt, wo Unterlagen aufbewahrt werden müssen.</w:t>
        <w:br/>
        <w:t>Abwesenheiten</w:t>
        <w:br/>
        <w:t>(einschließlich Krankenstand), Sitzungen, Einstellungen, Chatverlauf und</w:t>
        <w:br/>
        <w:t>die handwerkliche Einstufung einer beschäftigten Person werden dabei</w:t>
        <w:br/>
        <w:t>gelöscht. Jede Person kann ihr eigenes Konto auch selbst löschen (siehe</w:t>
        <w:br/>
        <w:t>„Konto löschen in der App“); ein beantragter Betrieb wird innerhalb von 30</w:t>
        <w:br/>
        <w:t>Tagen gelöscht.</w:t>
      </w:r>
    </w:p>
    <w:p>
      <w:pPr>
        <w:pStyle w:val="ListBullet"/>
      </w:pPr>
      <w:r>
        <w:rPr>
          <w:b/>
          <w:i w:val="0"/>
        </w:rPr>
        <w:t>Verzeichnis bekannter Werte des Privacy-Gateways</w:t>
      </w:r>
      <w:r>
        <w:rPr>
          <w:b w:val="0"/>
          <w:i w:val="0"/>
        </w:rPr>
        <w:t xml:space="preserve"> (verschlüsselt): Werte</w:t>
        <w:br/>
        <w:t>aus den Datensätzen des Betriebs — so lange wie diese Datensätze; Werte, die</w:t>
        <w:br/>
        <w:t>das Gateway nur im Freitext gefunden hat (etwa in einer E-Mail) — bis die</w:t>
        <w:br/>
        <w:t>Löschung einer Person sie findet; ein früherer oder anders geschriebener</w:t>
        <w:br/>
        <w:t>Wert kann bleiben. Platzhalter selbst gelten nur für eine Anfrage.</w:t>
      </w:r>
    </w:p>
    <w:p>
      <w:pPr>
        <w:pStyle w:val="ListBullet"/>
      </w:pPr>
      <w:r>
        <w:rPr>
          <w:b/>
          <w:i w:val="0"/>
        </w:rPr>
        <w:t>Datenschutz-Nachweis des Gateways</w:t>
      </w:r>
      <w:r>
        <w:rPr>
          <w:b w:val="0"/>
          <w:i w:val="0"/>
        </w:rPr>
        <w:t xml:space="preserve"> (ohne Werte): [Dauer festlegen].</w:t>
      </w:r>
    </w:p>
    <w:p>
      <w:pPr>
        <w:pStyle w:val="ListBullet"/>
      </w:pPr>
      <w:r>
        <w:rPr>
          <w:b/>
          <w:i w:val="0"/>
        </w:rPr>
        <w:t>Anrufaufzeichnungen</w:t>
      </w:r>
      <w:r>
        <w:rPr>
          <w:b w:val="0"/>
          <w:i w:val="0"/>
        </w:rPr>
        <w:t>: die Audiodatei wird 14 Tage, nachdem ihr</w:t>
        <w:br/>
        <w:t xml:space="preserve">Transkript vorliegt, gelöscht; </w:t>
      </w:r>
      <w:r>
        <w:rPr>
          <w:b/>
          <w:i w:val="0"/>
        </w:rPr>
        <w:t>WhatsApp-Sprachnachrichten und Audio beim</w:t>
        <w:br/>
        <w:t>Auftrag</w:t>
      </w:r>
      <w:r>
        <w:rPr>
          <w:b w:val="0"/>
          <w:i w:val="0"/>
        </w:rPr>
        <w:t>: 7 Tage danach. Die Transkripte bleiben ohne Enddatum (sie sind</w:t>
        <w:br/>
        <w:t>die Aufzeichnung des Vorgangs). Eine Aufnahme ohne Transkript bleibt, bis</w:t>
        <w:br/>
        <w:t>sie gelöscht wird. Anrufaufzeichnungen werden bei Twilio sofort nach dem</w:t>
        <w:br/>
        <w:t>Abruf gelöscht.</w:t>
      </w:r>
    </w:p>
    <w:p>
      <w:pPr>
        <w:pStyle w:val="ListBullet"/>
      </w:pPr>
      <w:r>
        <w:rPr>
          <w:b/>
          <w:i w:val="0"/>
        </w:rPr>
        <w:t>Aufnahmen in unseren internen Sicherungen</w:t>
      </w:r>
      <w:r>
        <w:rPr>
          <w:b w:val="0"/>
          <w:i w:val="0"/>
        </w:rPr>
        <w:t>: eine im Programm gelöschte</w:t>
        <w:br/>
        <w:t xml:space="preserve">Aufnahme </w:t>
      </w:r>
      <w:r>
        <w:rPr>
          <w:b/>
          <w:i w:val="0"/>
        </w:rPr>
        <w:t>bleibt in unseren internen Sicherungen</w:t>
      </w:r>
      <w:r>
        <w:rPr>
          <w:b w:val="0"/>
          <w:i w:val="0"/>
        </w:rPr>
        <w:t xml:space="preserve"> — den nächtlichen Kopien</w:t>
        <w:br/>
        <w:t>der Datenbank und der Dateien auf einem getrennten Speicher bei Hetzner in</w:t>
        <w:br/>
        <w:t>Deutschland und in einer zweiten Kopie bei Scaleway in Paris (Frankreich),</w:t>
        <w:br/>
        <w:t>ohne Enddatum aufbewahrt. Necesso verschlüsselt sie nicht über die</w:t>
        <w:br/>
        <w:t>Zugangskontrolle dieser Speicher hinaus (die zweite Kopie speichert Scaleway</w:t>
        <w:br/>
        <w:t>verschlüsselt); sie werden Kunden und Nutzern</w:t>
        <w:br/>
        <w:t>nie gezeigt und nur verwendet, um den Dienst nach einem Ausfall</w:t>
        <w:br/>
        <w:t>wiederherzustellen; nach einer Wiederherstellung läuft die Löschung erneut.</w:t>
      </w:r>
    </w:p>
    <w:p>
      <w:pPr>
        <w:pStyle w:val="ListBullet"/>
      </w:pPr>
      <w:r>
        <w:rPr>
          <w:b/>
          <w:i w:val="0"/>
        </w:rPr>
        <w:t>Videos beim Auftrag</w:t>
      </w:r>
      <w:r>
        <w:rPr>
          <w:b w:val="0"/>
          <w:i w:val="0"/>
        </w:rPr>
        <w:t>: mit dem Auftrag (Geschäftsdaten).</w:t>
      </w:r>
    </w:p>
    <w:p>
      <w:pPr>
        <w:pStyle w:val="ListBullet"/>
      </w:pPr>
      <w:r>
        <w:rPr>
          <w:b/>
          <w:i w:val="0"/>
        </w:rPr>
        <w:t>Suchauswertung</w:t>
      </w:r>
      <w:r>
        <w:rPr>
          <w:b w:val="0"/>
          <w:i w:val="0"/>
        </w:rPr>
        <w:t>: 12 Monate, dann automatisch gelöscht.</w:t>
      </w:r>
    </w:p>
    <w:p>
      <w:pPr>
        <w:pStyle w:val="ListBullet"/>
      </w:pPr>
      <w:r>
        <w:rPr>
          <w:b/>
          <w:i w:val="0"/>
        </w:rPr>
        <w:t>Verlauf des Support-Chats</w:t>
      </w:r>
      <w:r>
        <w:rPr>
          <w:b w:val="0"/>
          <w:i w:val="0"/>
        </w:rPr>
        <w:t>: aufbewahrt, bis er gelöscht wird (keine</w:t>
        <w:br/>
        <w:t>automatische Löschung).</w:t>
      </w:r>
    </w:p>
    <w:p>
      <w:pPr>
        <w:pStyle w:val="ListBullet"/>
      </w:pPr>
      <w:r>
        <w:rPr>
          <w:b/>
          <w:i w:val="0"/>
        </w:rPr>
        <w:t>Server-Protokolle</w:t>
      </w:r>
      <w:r>
        <w:rPr>
          <w:b w:val="0"/>
          <w:i w:val="0"/>
        </w:rPr>
        <w:t>: 30 Tage.</w:t>
      </w:r>
    </w:p>
    <w:p>
      <w:pPr>
        <w:pStyle w:val="ListBullet"/>
      </w:pPr>
      <w:r>
        <w:rPr>
          <w:b/>
          <w:i w:val="0"/>
        </w:rPr>
        <w:t>Sperrliste für E-Mails</w:t>
      </w:r>
      <w:r>
        <w:rPr>
          <w:b w:val="0"/>
          <w:i w:val="0"/>
        </w:rPr>
        <w:t xml:space="preserve"> (unzustellbare oder abgelehnte Adressen): ohne</w:t>
        <w:br/>
        <w:t>zeitliche Begrenzung; ein Eintrag wird nie gelöscht, nur vom Necesso-Team</w:t>
        <w:br/>
        <w:t>wieder freigegeben.</w:t>
      </w:r>
    </w:p>
    <w:p>
      <w:pPr>
        <w:pStyle w:val="ListBullet"/>
      </w:pPr>
      <w:r>
        <w:rPr>
          <w:b/>
          <w:i w:val="0"/>
        </w:rPr>
        <w:t>Mistral AI</w:t>
      </w:r>
      <w:r>
        <w:rPr>
          <w:b w:val="0"/>
          <w:i w:val="0"/>
        </w:rPr>
        <w:t xml:space="preserve"> (Assistent, Hilfe-Chat, Kassenbons, gesprochene Eingaben</w:t>
        <w:br/>
        <w:t>einschließlich der Aufnahmen, die Voxtral umwandelt) bewahrt Ein- und</w:t>
        <w:br/>
        <w:t xml:space="preserve">Ausgaben für die Dauer der Beantwortung und danach </w:t>
      </w:r>
      <w:r>
        <w:rPr>
          <w:b/>
          <w:i w:val="0"/>
        </w:rPr>
        <w:t>30</w:t>
        <w:br/>
        <w:t>Tage zur Missbrauchserkennung</w:t>
      </w:r>
      <w:r>
        <w:rPr>
          <w:b w:val="0"/>
          <w:i w:val="0"/>
        </w:rPr>
        <w:t xml:space="preserve"> auf, sofern keine Null-Speicherung vereinbart</w:t>
        <w:br/>
        <w:t>ist (Datenschutzerklärung von Mistral, legal.mistral.ai, Stand Oktober 2026);</w:t>
        <w:br/>
        <w:t>Mistral trainiert nicht damit (Geschäftsbedingungen von Mistral, Ziff. 4.2).</w:t>
      </w:r>
    </w:p>
    <w:p>
      <w:pPr>
        <w:pStyle w:val="ListBullet"/>
      </w:pPr>
      <w:r>
        <w:rPr>
          <w:b/>
          <w:i w:val="0"/>
        </w:rPr>
        <w:t>Sprachaufnahmen</w:t>
      </w:r>
      <w:r>
        <w:rPr>
          <w:b w:val="0"/>
          <w:i w:val="0"/>
        </w:rPr>
        <w:t xml:space="preserve"> (Diktat, „Sprechen statt Ausfüllen", Sprachassistent):</w:t>
        <w:br/>
        <w:t>von uns nicht gespeichert.</w:t>
      </w:r>
    </w:p>
    <w:p>
      <w:pPr>
        <w:pStyle w:val="ListBullet"/>
      </w:pPr>
      <w:r>
        <w:rPr>
          <w:b/>
          <w:i w:val="0"/>
        </w:rPr>
        <w:t>Anmeldesitzungen</w:t>
      </w:r>
      <w:r>
        <w:rPr>
          <w:b w:val="0"/>
          <w:i w:val="0"/>
        </w:rPr>
        <w:t>: enden nach 14 Tagen, mit „angemeldet bleiben" nach</w:t>
        <w:br/>
        <w:t>einem Jahr ohne Nutzung.</w:t>
      </w:r>
    </w:p>
    <w:p>
      <w:pPr>
        <w:pStyle w:val="ListBullet"/>
      </w:pPr>
      <w:r>
        <w:rPr>
          <w:b/>
          <w:i w:val="0"/>
        </w:rPr>
        <w:t>Datensicherungen</w:t>
      </w:r>
      <w:r>
        <w:rPr>
          <w:b w:val="0"/>
          <w:i w:val="0"/>
        </w:rPr>
        <w:t>: nächtliche Sicherungen der Datenbank und der Dateien</w:t>
        <w:br/>
        <w:t xml:space="preserve">werden 14 Tage auf dem Server und </w:t>
      </w:r>
      <w:r>
        <w:rPr>
          <w:b/>
          <w:i w:val="0"/>
        </w:rPr>
        <w:t>ohne zeitliche Begrenzung</w:t>
      </w:r>
      <w:r>
        <w:rPr>
          <w:b w:val="0"/>
          <w:i w:val="0"/>
        </w:rPr>
        <w:t xml:space="preserve"> auf dem</w:t>
        <w:br/>
        <w:t>Sicherungsspeicher (Hetzner Storage Box, Deutschland) aufbewahrt, dazu eine</w:t>
        <w:br/>
        <w:t>zweite Kopie bei einem anderen Anbieter (Scaleway Object Storage, Paris,</w:t>
        <w:br/>
        <w:t>Frankreich) — gegen Veränderung und Löschung gesperrt, ebenfalls ohne</w:t>
        <w:br/>
        <w:t xml:space="preserve">zeitliche Begrenzung. </w:t>
      </w:r>
      <w:r>
        <w:rPr>
          <w:b/>
          <w:i w:val="0"/>
        </w:rPr>
        <w:t>Jede Sicherung wird von uns verschlüsselt, bevor sie</w:t>
        <w:br/>
        <w:t>den Server verlässt</w:t>
      </w:r>
      <w:r>
        <w:rPr>
          <w:b w:val="0"/>
          <w:i w:val="0"/>
        </w:rPr>
        <w:t xml:space="preserve"> (AES-256, mit einem getrennt von den Sicherungen</w:t>
        <w:br/>
        <w:t>aufbewahrten Schlüssel), sodass kein Speicheranbieter sie lesen kann. Eine</w:t>
        <w:br/>
        <w:t>Sicherung kann nicht bearbeitet werden; im Programm gelöschte Daten bleiben</w:t>
        <w:br/>
        <w:t>daher in den vor der Löschung erstellten Sicherungen enthalten. Sicherungen</w:t>
        <w:br/>
        <w:t>werden nur gelesen, um den Dienst wiederherzustellen; jede Löschung wird in</w:t>
        <w:br/>
        <w:t>einem Löschprotokoll vermerkt (die interne Kennung der Person, wann — nie die</w:t>
        <w:br/>
        <w:t>gelöschten Daten), und nach jeder Wiederherstellung wird jede vermerkte</w:t>
        <w:br/>
        <w:t>Löschung erneut angewandt, bevor der Dienst genutzt wird.</w:t>
      </w:r>
    </w:p>
    <w:p>
      <w:pPr>
        <w:pStyle w:val="ListBullet"/>
      </w:pPr>
      <w:r>
        <w:rPr>
          <w:b/>
          <w:i w:val="0"/>
        </w:rPr>
        <w:t>Ihre Rechte auf Auskunft und Datenübertragbarkeit</w:t>
      </w:r>
      <w:r>
        <w:rPr>
          <w:b w:val="0"/>
          <w:i w:val="0"/>
        </w:rPr>
        <w:t>: der Betrieb kann</w:t>
        <w:br/>
        <w:t>einen vollständigen Export aller über Sie gespeicherten Daten herunterladen</w:t>
        <w:br/>
        <w:t>(eine ZIP-Datei mit jedem mit Ihnen verknüpften Datensatz und jeder Datei)</w:t>
        <w:br/>
        <w:t>und Ihnen übergeben.</w:t>
      </w:r>
    </w:p>
    <w:p>
      <w:pPr>
        <w:pStyle w:val="Heading1"/>
      </w:pPr>
      <w:r>
        <w:rPr>
          <w:b w:val="0"/>
          <w:i w:val="0"/>
        </w:rPr>
        <w:t>5. Ihre Rechte nach der DSGVO</w:t>
      </w:r>
    </w:p>
    <w:p>
      <w:r>
        <w:rPr>
          <w:b w:val="0"/>
          <w:i w:val="0"/>
        </w:rPr>
        <w:t>Sie haben folgende Rechte:</w:t>
      </w:r>
    </w:p>
    <w:p>
      <w:pPr>
        <w:pStyle w:val="ListBullet"/>
      </w:pPr>
      <w:r>
        <w:rPr>
          <w:b/>
          <w:i w:val="0"/>
        </w:rPr>
        <w:t>Auskunft</w:t>
      </w:r>
      <w:r>
        <w:rPr>
          <w:b w:val="0"/>
          <w:i w:val="0"/>
        </w:rPr>
        <w:t xml:space="preserve"> (Art. 15): ob und welche Daten wir verarbeiten, zu welchem Zweck, an wen sie gehen, wie lange wir sie speichern, woher sie stammen und ob Profiling stattfindet</w:t>
      </w:r>
    </w:p>
    <w:p>
      <w:pPr>
        <w:pStyle w:val="ListBullet"/>
      </w:pPr>
      <w:r>
        <w:rPr>
          <w:b/>
          <w:i w:val="0"/>
        </w:rPr>
        <w:t>Berichtigung</w:t>
      </w:r>
      <w:r>
        <w:rPr>
          <w:b w:val="0"/>
          <w:i w:val="0"/>
        </w:rPr>
        <w:t xml:space="preserve"> (Art. 16) unrichtiger Daten</w:t>
      </w:r>
    </w:p>
    <w:p>
      <w:pPr>
        <w:pStyle w:val="ListBullet"/>
      </w:pPr>
      <w:r>
        <w:rPr>
          <w:b/>
          <w:i w:val="0"/>
        </w:rPr>
        <w:t>Löschung</w:t>
      </w:r>
      <w:r>
        <w:rPr>
          <w:b w:val="0"/>
          <w:i w:val="0"/>
        </w:rPr>
        <w:t xml:space="preserve"> (Art. 17)</w:t>
      </w:r>
    </w:p>
    <w:p>
      <w:pPr>
        <w:pStyle w:val="ListBullet"/>
      </w:pPr>
      <w:r>
        <w:rPr>
          <w:b/>
          <w:i w:val="0"/>
        </w:rPr>
        <w:t>Einschränkung der Verarbeitung</w:t>
      </w:r>
      <w:r>
        <w:rPr>
          <w:b w:val="0"/>
          <w:i w:val="0"/>
        </w:rPr>
        <w:t xml:space="preserve"> (Art. 18)</w:t>
      </w:r>
    </w:p>
    <w:p>
      <w:pPr>
        <w:pStyle w:val="ListBullet"/>
      </w:pPr>
      <w:r>
        <w:rPr>
          <w:b/>
          <w:i w:val="0"/>
        </w:rPr>
        <w:t>Datenübertragbarkeit</w:t>
      </w:r>
      <w:r>
        <w:rPr>
          <w:b w:val="0"/>
          <w:i w:val="0"/>
        </w:rPr>
        <w:t xml:space="preserve"> (Art. 20) in einem gängigen Format</w:t>
      </w:r>
    </w:p>
    <w:p>
      <w:pPr>
        <w:pStyle w:val="ListBullet"/>
      </w:pPr>
      <w:r>
        <w:rPr>
          <w:b/>
          <w:i w:val="0"/>
        </w:rPr>
        <w:t>Widerspruch</w:t>
      </w:r>
      <w:r>
        <w:rPr>
          <w:b w:val="0"/>
          <w:i w:val="0"/>
        </w:rPr>
        <w:t xml:space="preserve"> (Art. 21) gegen Verarbeitungen auf Basis berechtigter Interessen sowie jederzeit gegen Direktwerbung und Profiling</w:t>
      </w:r>
    </w:p>
    <w:p>
      <w:pPr>
        <w:pStyle w:val="ListBullet"/>
      </w:pPr>
      <w:r>
        <w:rPr>
          <w:b/>
          <w:i w:val="0"/>
        </w:rPr>
        <w:t>Keine ausschließlich automatisierte Entscheidung</w:t>
      </w:r>
      <w:r>
        <w:rPr>
          <w:b w:val="0"/>
          <w:i w:val="0"/>
        </w:rPr>
        <w:t xml:space="preserve"> (Art. 22): Unsere KI-Assistenten erstellen Vorschläge; Entscheidungen mit rechtlicher Wirkung trifft immer ein Mensch</w:t>
      </w:r>
    </w:p>
    <w:p>
      <w:pPr>
        <w:pStyle w:val="ListBullet"/>
      </w:pPr>
      <w:r>
        <w:rPr>
          <w:b/>
          <w:i w:val="0"/>
        </w:rPr>
        <w:t>Widerruf einer Einwilligung</w:t>
      </w:r>
      <w:r>
        <w:rPr>
          <w:b w:val="0"/>
          <w:i w:val="0"/>
        </w:rPr>
        <w:t xml:space="preserve"> jederzeit mit Wirkung für die Zukunft</w:t>
      </w:r>
    </w:p>
    <w:p>
      <w:pPr>
        <w:pStyle w:val="ListBullet"/>
      </w:pPr>
      <w:r>
        <w:rPr>
          <w:b/>
          <w:i w:val="0"/>
        </w:rPr>
        <w:t>Beschwerde</w:t>
      </w:r>
      <w:r>
        <w:rPr>
          <w:b w:val="0"/>
          <w:i w:val="0"/>
        </w:rPr>
        <w:t xml:space="preserve"> (Art. 77) bei einer Aufsichtsbehörde</w:t>
      </w:r>
    </w:p>
    <w:p>
      <w:r>
        <w:rPr>
          <w:b w:val="0"/>
          <w:i w:val="0"/>
        </w:rPr>
        <w:t xml:space="preserve">Zuständig ist die österreichische Datenschutzbehörde, Barichgasse 40–42, 1030 Wien, </w:t>
      </w:r>
      <w:r>
        <w:rPr>
          <w:b w:val="0"/>
          <w:i w:val="0"/>
        </w:rPr>
        <w:t>www.dsb.gv.at</w:t>
      </w:r>
      <w:r>
        <w:rPr>
          <w:b w:val="0"/>
          <w:i w:val="0"/>
        </w:rPr>
        <w:t>. In Deutschland ist jeweils die Datenschutzbehörde des Bundeslandes zuständig; Informationen bietet die Bundesbeauftragte für den Datenschutz und die Informationsfreiheit (BfDI).</w:t>
      </w:r>
    </w:p>
    <w:p>
      <w:pPr>
        <w:pStyle w:val="Heading1"/>
      </w:pPr>
      <w:r>
        <w:rPr>
          <w:b w:val="0"/>
          <w:i w:val="0"/>
        </w:rPr>
        <w:t>6. Datenübertragung in Drittländer</w:t>
      </w:r>
    </w:p>
    <w:p>
      <w:r>
        <w:rPr>
          <w:b w:val="0"/>
          <w:i w:val="0"/>
        </w:rPr>
        <w:t>Wir übermitteln personenbezogene Daten außerhalb der EU und des EWR ausschließlich im Rahmen der jeweils einschlägigen Voraussetzungen nach Art. 44 ff. DSGVO. Je nach Anbieter kommen insbesondere folgende Übermittlungsgrundlagen zur Anwendung:</w:t>
      </w:r>
    </w:p>
    <w:p>
      <w:pPr>
        <w:pStyle w:val="ListBullet"/>
      </w:pPr>
      <w:r>
        <w:rPr>
          <w:b/>
          <w:i w:val="0"/>
        </w:rPr>
        <w:t>Angemessenheitsbeschluss:</w:t>
      </w:r>
      <w:r>
        <w:rPr>
          <w:b w:val="0"/>
          <w:i w:val="0"/>
        </w:rPr>
        <w:t xml:space="preserve"> Der Empfänger nimmt aktiv am EU-US Data Privacy Framework (DPF) teil. Den Status können Sie unter </w:t>
      </w:r>
      <w:r>
        <w:rPr>
          <w:b w:val="0"/>
          <w:i w:val="0"/>
        </w:rPr>
        <w:t>dataprivacyframework.gov</w:t>
      </w:r>
      <w:r>
        <w:rPr>
          <w:b w:val="0"/>
          <w:i w:val="0"/>
        </w:rPr>
        <w:t xml:space="preserve"> prüfen.</w:t>
      </w:r>
    </w:p>
    <w:p>
      <w:pPr>
        <w:pStyle w:val="ListBullet"/>
      </w:pPr>
      <w:r>
        <w:rPr>
          <w:b/>
          <w:i w:val="0"/>
        </w:rPr>
        <w:t>Standardvertragsklauseln (SCC)</w:t>
      </w:r>
      <w:r>
        <w:rPr>
          <w:b w:val="0"/>
          <w:i w:val="0"/>
        </w:rPr>
        <w:t xml:space="preserve"> der EU-Kommission nach Art. 46 Abs. 2 lit. c DSGVO, wenn der Empfänger nicht am DPF teilnimmt.</w:t>
      </w:r>
    </w:p>
    <w:p>
      <w:r>
        <w:rPr>
          <w:b/>
          <w:i w:val="0"/>
        </w:rPr>
        <w:t>Übermittlung außerhalb des EWR:</w:t>
      </w:r>
      <w:r>
        <w:rPr>
          <w:b w:val="0"/>
          <w:i w:val="0"/>
        </w:rPr>
        <w:t xml:space="preserve"> Bei Übermittlungen an Anthropic gelten vier Schutzmaßnahmen:</w:t>
      </w:r>
    </w:p>
    <w:p>
      <w:pPr>
        <w:pStyle w:val="ListNumber"/>
      </w:pPr>
      <w:r>
        <w:rPr>
          <w:b w:val="0"/>
          <w:i w:val="0"/>
        </w:rPr>
        <w:t>Die Daten sind bei der Übertragung (TLS 1.2 oder höher) und bei der Speicherung verschlüsselt.</w:t>
      </w:r>
    </w:p>
    <w:p>
      <w:pPr>
        <w:pStyle w:val="ListNumber"/>
      </w:pPr>
      <w:r>
        <w:rPr>
          <w:b w:val="0"/>
          <w:i w:val="0"/>
        </w:rPr>
        <w:t>Direkt identifizierende Angaben wurden vorher entfernt oder durch Platzhalter ersetzt, insbesondere Namen, Telefonnummern, E-Mail-Adressen, Anschriften, Kontonummern und Tonaufnahmen.</w:t>
      </w:r>
    </w:p>
    <w:p>
      <w:pPr>
        <w:pStyle w:val="ListNumber"/>
      </w:pPr>
      <w:r>
        <w:rPr>
          <w:b w:val="0"/>
          <w:i w:val="0"/>
        </w:rPr>
        <w:t>Der Schlüssel, der Platzhalter wieder den echten Daten zuordnet, bleibt ausschließlich in der EU und wird nie übermittelt.</w:t>
      </w:r>
    </w:p>
    <w:p>
      <w:pPr>
        <w:pStyle w:val="ListNumber"/>
      </w:pPr>
      <w:r>
        <w:rPr>
          <w:b w:val="0"/>
          <w:i w:val="0"/>
        </w:rPr>
        <w:t>Es besteht eine Grundlage nach Art. 44 ff. DSGVO: ein Angemessenheitsbeschluss (einschließlich EU-US Data Privacy Framework) oder die EU-Standardvertragsklauseln.</w:t>
      </w:r>
    </w:p>
    <w:p>
      <w:r>
        <w:rPr>
          <w:b w:val="0"/>
          <w:i w:val="0"/>
        </w:rPr>
        <w:t>Die beschriebenen technischen Maßnahmen entsprechen der dokumentierten Architektur. Für bestimmte Funktionen erhält Mistral auch personenbezogene Daten über seinen EU-Endpunkt. Bei aktivierter Twilio-Telefonie bzw. SMS können Telefonnummern, Anrufzeiten und SMS-Inhalte unter den Bedingungen des Twilio-DPA und der EU-Standardvertragsklauseln in den USA verarbeitet werden. Für WhatsApp gelten die Bedingungen von Meta (Abschnitt 10).</w:t>
      </w:r>
    </w:p>
    <w:p>
      <w:r>
        <w:rPr>
          <w:b w:val="0"/>
          <w:i w:val="0"/>
        </w:rPr>
        <w:t>Die Website necesso.ai wird getrennt von der Necesso-Plattform bei Netlify gehostet. GoDaddy verwaltet die Domain und ist nicht der Webhoster. Die Plattform läuft auf Hetzner-Servern in Deutschland; zusätzlich werden verschlüsselte Offsite-Backups bei Scaleway in Paris gespeichert.</w:t>
      </w:r>
    </w:p>
    <w:p>
      <w:r>
        <w:rPr>
          <w:b w:val="0"/>
          <w:i w:val="0"/>
        </w:rPr>
        <w:t>Welche Anbieter Daten in Drittländer erhalten, finden Sie in Abschnitt 15.</w:t>
      </w:r>
    </w:p>
    <w:p>
      <w:r>
        <w:rPr>
          <w:b w:val="0"/>
          <w:i w:val="0"/>
        </w:rPr>
        <w:t>Wichtig: Pseudonymisierte Informationen bleiben personenbezogene Daten. Die getrennte Zuordnung im EWR mindert das Risiko, ersetzt aber keine nach Art. 44 ff. DSGVO erforderliche Übermittlungsgrundlage. Auskünfte zu anwendbaren vertraglichen Schutzmaßnahmen erteilen wir unter office@necesso.ai.</w:t>
      </w:r>
    </w:p>
    <w:p>
      <w:r>
        <w:rPr>
          <w:b w:val="0"/>
          <w:i w:val="0"/>
        </w:rPr>
        <w:t>Drittlandübermittlungen an Anthropic und andere Empfänger außerhalb des EWR erfolgen nur unter einer anwendbaren Übermittlungsgrundlage nach Art. 44 ff. DSGVO. Die jeweils geltenden Schutzmaßnahmen richten sich nach den anwendbaren Anbietervereinbarungen. Pseudonymisierung allein ersetzt eine Übermittlungsgrundlage nicht.</w:t>
      </w:r>
    </w:p>
    <w:p>
      <w:pPr>
        <w:pStyle w:val="Heading1"/>
      </w:pPr>
      <w:r>
        <w:rPr>
          <w:b w:val="0"/>
          <w:i w:val="0"/>
        </w:rPr>
        <w:t>7. Sicherheit der Datenverarbeitung</w:t>
      </w:r>
    </w:p>
    <w:p>
      <w:r>
        <w:rPr>
          <w:b w:val="0"/>
          <w:i w:val="0"/>
        </w:rPr>
        <w:t xml:space="preserve">Wir setzen technische und organisatorische Maßnahmen nach Art. 25 und 32 DSGVO ein. Die bereitgestellte technische Dokumentation beschreibt insbesondere TLS-Verschlüsselung für externe Verbindungen, rollenbasierte Berechtigungen und Datenbank-Mandantentrennung, AES-256-Verschlüsselung ausgewählter Geheimnisse sowie </w:t>
      </w:r>
      <w:r>
        <w:rPr>
          <w:b/>
          <w:i w:val="0"/>
        </w:rPr>
        <w:t>AES-256-Verschlüsselung der nächtlichen Backups durch Necesso vor der Übertragung</w:t>
      </w:r>
      <w:r>
        <w:rPr>
          <w:b w:val="0"/>
          <w:i w:val="0"/>
        </w:rPr>
        <w:t xml:space="preserve"> zu Hetzner Storage Box und Scaleway. Die Schlüssel für verschlüsselte Geheimnisse und Backups werden separat von den verschlüsselten Daten verwaltet.</w:t>
      </w:r>
    </w:p>
    <w:p>
      <w:r>
        <w:rPr>
          <w:b w:val="0"/>
          <w:i w:val="0"/>
        </w:rPr>
        <w:t>Backups werden 14 Tage auf dem Server und nach der aktuellen Dokumentation ohne feste Endfrist in den Offsite-Speichern aufbewahrt. Die Sicherungen können Daten enthalten, die aus dem Live-System bereits gelöscht wurden. Bei der Wiederherstellung werden dokumentierte Löschungen erneut angewandt. Die Speicherbegrenzung dieser historischen Kopien muss weiterhin geprüft werden.</w:t>
      </w:r>
    </w:p>
    <w:p>
      <w:r>
        <w:rPr>
          <w:b w:val="0"/>
          <w:i w:val="0"/>
        </w:rPr>
        <w:t xml:space="preserve">Das Privacy-Gateway minimiert bei Anthropic-Anfragen die übermittelten Felder und pseudonymisiert erkannte Angaben. Es kann nicht sämtliche personenbezogenen Angaben zuverlässig erkennen. Privilegierte Serverbetreiber haben technisch Zugriff auf die Datenbank; eine durchgehend eigene Festplattenverschlüsselung oder Ende-zu-Ende-Verschlüsselung aller Inhalte wird nicht zugesichert. Weitere Maßnahmen und Grenzen stehen unter </w:t>
      </w:r>
      <w:r>
        <w:rPr>
          <w:b w:val="0"/>
          <w:i w:val="0"/>
        </w:rPr>
        <w:t>Datensicherheit</w:t>
      </w:r>
      <w:r>
        <w:rPr>
          <w:b w:val="0"/>
          <w:i w:val="0"/>
        </w:rPr>
        <w:t>.</w:t>
      </w:r>
    </w:p>
    <w:p>
      <w:pPr>
        <w:pStyle w:val="Heading1"/>
      </w:pPr>
      <w:r>
        <w:rPr>
          <w:b w:val="0"/>
          <w:i w:val="0"/>
        </w:rPr>
        <w:t>8. Kommunikation mit uns</w:t>
      </w:r>
    </w:p>
    <w:p>
      <w:r>
        <w:rPr>
          <w:b w:val="0"/>
          <w:i w:val="0"/>
        </w:rPr>
        <w:t>Wenn Sie uns per Telefon, E-Mail oder Online-Formular kontaktieren, verarbeiten wir Ihre Daten, um Ihre Anfrage und den damit verbundenen Geschäftsvorgang zu bearbeiten. Die Daten werden gespeichert, solange der Geschäftsfall läuft oder das Gesetz es vorschreibt.</w:t>
      </w:r>
    </w:p>
    <w:p>
      <w:pPr>
        <w:pStyle w:val="ListBullet"/>
      </w:pPr>
      <w:r>
        <w:rPr>
          <w:b/>
          <w:i w:val="0"/>
        </w:rPr>
        <w:t>Telefon:</w:t>
      </w:r>
      <w:r>
        <w:rPr>
          <w:b w:val="0"/>
          <w:i w:val="0"/>
        </w:rPr>
        <w:t xml:space="preserve"> Anrufdaten werden auf dem Endgerät und beim Telekommunikationsanbieter pseudonymisiert gespeichert. Name und Telefonnummer können zur Beantwortung per E-Mail weitergeleitet werden. Anrufe mit uns selbst zeichnen wir nicht auf.</w:t>
      </w:r>
    </w:p>
    <w:p>
      <w:pPr>
        <w:pStyle w:val="ListBullet"/>
      </w:pPr>
      <w:r>
        <w:rPr>
          <w:b/>
          <w:i w:val="0"/>
        </w:rPr>
        <w:t>E-Mail:</w:t>
      </w:r>
      <w:r>
        <w:rPr>
          <w:b w:val="0"/>
          <w:i w:val="0"/>
        </w:rPr>
        <w:t xml:space="preserve"> Daten werden auf dem Endgerät und auf dem E-Mail-Server gespeichert.</w:t>
      </w:r>
    </w:p>
    <w:p>
      <w:pPr>
        <w:pStyle w:val="ListBullet"/>
      </w:pPr>
      <w:r>
        <w:rPr>
          <w:b/>
          <w:i w:val="0"/>
        </w:rPr>
        <w:t>Website-Kontakt und Kontolöschungsformular:</w:t>
      </w:r>
      <w:r>
        <w:rPr>
          <w:b w:val="0"/>
          <w:i w:val="0"/>
        </w:rPr>
        <w:t xml:space="preserve"> Die Kontaktlinks öffnen Ihr E-Mail-Programm. Das Formular zur Kontolöschung erstellt den Nachrichtenentwurf ausschließlich in Ihrem Browser; Formulareingaben werden nicht an einen Website-Server übermittelt. Erst wenn Sie die E-Mail selbst absenden, erhalten wir Ihre Anfrage.</w:t>
      </w:r>
    </w:p>
    <w:p>
      <w:r>
        <w:rPr>
          <w:b w:val="0"/>
          <w:i w:val="0"/>
        </w:rPr>
        <w:t>Die Daten werden gelöscht, sobald der Geschäftsfall beendet ist und keine gesetzliche Aufbewahrungspflicht besteht.</w:t>
      </w:r>
    </w:p>
    <w:p>
      <w:r>
        <w:rPr>
          <w:b/>
          <w:i w:val="0"/>
        </w:rPr>
        <w:t>Rechtsgrundlagen:</w:t>
      </w:r>
      <w:r>
        <w:rPr>
          <w:b w:val="0"/>
          <w:i w:val="0"/>
        </w:rPr>
        <w:t xml:space="preserve"> Art. 6 Abs. 1 lit. a DSGVO (Einwilligung), lit. b (Vertrag oder vorvertragliche Maßnahmen, etwa ein Angebot) und lit. f (berechtigtes Interesse an professioneller Geschäftskommunikation).</w:t>
      </w:r>
    </w:p>
    <w:p>
      <w:r>
        <w:rPr>
          <w:b/>
          <w:i w:val="0"/>
        </w:rPr>
        <w:t>E-Mail-Dienstleister:</w:t>
      </w:r>
      <w:r>
        <w:rPr>
          <w:b w:val="0"/>
          <w:i w:val="0"/>
        </w:rPr>
        <w:t xml:space="preserve"> Ausgehende E-Mails werden über Scaleway in Frankreich versendet (Empfänger, Name, Betreff, Nachricht und Anhänge). Eingehende E-Mails laufen über Migadu, mit Postfächern im EWR bzw. in der Schweiz und OVHcloud-Infrastruktur in Frankreich und den Niederlanden.</w:t>
      </w:r>
    </w:p>
    <w:p>
      <w:pPr>
        <w:pStyle w:val="Heading1"/>
      </w:pPr>
      <w:r>
        <w:rPr>
          <w:b w:val="0"/>
          <w:i w:val="0"/>
        </w:rPr>
        <w:t>9. KI-Assistenten (Mistral und Anthropic)</w:t>
      </w:r>
    </w:p>
    <w:p>
      <w:r>
        <w:rPr>
          <w:b w:val="0"/>
          <w:i w:val="0"/>
        </w:rPr>
        <w:t>Necesso nutzt KI-Modelle zweier Anbieter. Die Ergebnisse sind Vorschläge: Der</w:t>
        <w:br/>
        <w:t>Assistent ändert nichts, ohne dass Sie es bestätigen; Entwürfe (Angebote,</w:t>
        <w:br/>
        <w:t>Mahnungen, Antworten auf E-Mails) prüfen und versenden Menschen.</w:t>
      </w:r>
    </w:p>
    <w:p>
      <w:r>
        <w:rPr>
          <w:b/>
          <w:i w:val="0"/>
        </w:rPr>
        <w:t>Mistral AI (Verarbeitung in der EU).</w:t>
      </w:r>
      <w:r>
        <w:rPr>
          <w:b w:val="0"/>
          <w:i w:val="0"/>
        </w:rPr>
        <w:t xml:space="preserve"> Für Betriebe in der EU laufen</w:t>
        <w:br/>
        <w:t>folgende Hilfen über den EU-Endpunkt von Mistral AI (</w:t>
      </w:r>
      <w:r>
        <w:rPr>
          <w:b w:val="0"/>
          <w:i w:val="0"/>
        </w:rPr>
        <w:t>api.eu.mistral.ai</w:t>
      </w:r>
      <w:r>
        <w:rPr>
          <w:b w:val="0"/>
          <w:i w:val="0"/>
        </w:rPr>
        <w:t>, im</w:t>
        <w:br/>
        <w:t>Programmcode festgelegt). Für den Assistenten im Programm ist der Anbieter eine</w:t>
        <w:br/>
        <w:t>Servereinstellung, die wir auf Mistral halten; würde sie je auf Anthropic</w:t>
        <w:br/>
        <w:t>umgestellt, liefen die Anfragen des Assistenten wie die übrigen automatischen</w:t>
        <w:br/>
        <w:t>Schritte durch das Privacy-Gateway:</w:t>
      </w:r>
    </w:p>
    <w:p>
      <w:pPr>
        <w:pStyle w:val="ListBullet"/>
      </w:pPr>
      <w:r>
        <w:rPr>
          <w:b w:val="0"/>
          <w:i w:val="0"/>
        </w:rPr>
        <w:t>der Assistent im Programm (Fragen und die Geschäftsdaten, die er zur</w:t>
        <w:br/>
        <w:t>Antwort liest; im Hilfemodus nur die Frage und die eigenen Hilfeartikel);</w:t>
      </w:r>
    </w:p>
    <w:p>
      <w:pPr>
        <w:pStyle w:val="ListBullet"/>
      </w:pPr>
      <w:r>
        <w:rPr>
          <w:b w:val="0"/>
          <w:i w:val="0"/>
        </w:rPr>
        <w:t>das Auslesen eines Kassenbons, den eine Monteurin oder ein Monteur auf</w:t>
        <w:br/>
        <w:t>einer Baustelle fotografiert (das Foto und was daraus gelesen wurde);</w:t>
      </w:r>
    </w:p>
    <w:p>
      <w:pPr>
        <w:pStyle w:val="ListBullet"/>
      </w:pPr>
      <w:r>
        <w:rPr>
          <w:b w:val="0"/>
          <w:i w:val="0"/>
        </w:rPr>
        <w:t>die KI-Suchzeile im Artikelkatalog (der getippte Satz, die Namen der</w:t>
        <w:br/>
        <w:t>Lieferanten und die Gewerkecodes des Betriebs — nie ein Artikel, nie ein</w:t>
        <w:br/>
        <w:t>Preis);</w:t>
      </w:r>
    </w:p>
    <w:p>
      <w:pPr>
        <w:pStyle w:val="ListBullet"/>
      </w:pPr>
      <w:r>
        <w:rPr>
          <w:b w:val="0"/>
          <w:i w:val="0"/>
        </w:rPr>
        <w:t>gesprochene Eingaben: die Aufnahme, die Voxtral in Text umwandelt, und</w:t>
        <w:br/>
        <w:t>der Text, um ihn zu verstehen (siehe „Sprache auf der Baustelle");</w:t>
      </w:r>
    </w:p>
    <w:p>
      <w:pPr>
        <w:pStyle w:val="ListBullet"/>
      </w:pPr>
      <w:r>
        <w:rPr>
          <w:b w:val="0"/>
          <w:i w:val="0"/>
        </w:rPr>
        <w:t>das Markieren von Namen und Adressen für das Privacy-Gateway (unten).</w:t>
      </w:r>
    </w:p>
    <w:p>
      <w:r>
        <w:rPr>
          <w:b w:val="0"/>
          <w:i w:val="0"/>
        </w:rPr>
        <w:t xml:space="preserve">Jeder automatische KI-Schritt — bei Mistral und bei Anthropic — erhält </w:t>
      </w:r>
      <w:r>
        <w:rPr>
          <w:b/>
          <w:i w:val="0"/>
        </w:rPr>
        <w:t>nur</w:t>
        <w:br/>
        <w:t>die Felder, die er für seine Aufgabe braucht</w:t>
      </w:r>
      <w:r>
        <w:rPr>
          <w:b w:val="0"/>
          <w:i w:val="0"/>
        </w:rPr>
        <w:t xml:space="preserve"> (ein Mahnungsentwurf etwa</w:t>
        <w:br/>
        <w:t>Rechnungsnummer, Beträge und Daten, nicht den ganzen Datensatz des Kunden).</w:t>
      </w:r>
    </w:p>
    <w:p>
      <w:r>
        <w:rPr>
          <w:b w:val="0"/>
          <w:i w:val="0"/>
        </w:rPr>
        <w:t>Nach den Bedingungen von Mistral können Kontokonfiguration, Schlüssel,</w:t>
        <w:br/>
        <w:t>Abrechnung, Zugriffsverwaltung und Nutzungsstatistiken außerhalb der EU</w:t>
        <w:br/>
        <w:t xml:space="preserve">verarbeitet werden. Richtig ist daher: </w:t>
      </w:r>
      <w:r>
        <w:rPr>
          <w:b/>
          <w:i w:val="0"/>
        </w:rPr>
        <w:t>Verarbeitung in der EU</w:t>
      </w:r>
      <w:r>
        <w:rPr>
          <w:b w:val="0"/>
          <w:i w:val="0"/>
        </w:rPr>
        <w:t xml:space="preserve"> — nicht:</w:t>
        <w:br/>
        <w:t>alle Daten bleiben in der EU.</w:t>
      </w:r>
    </w:p>
    <w:p>
      <w:r>
        <w:rPr>
          <w:b/>
          <w:i w:val="0"/>
        </w:rPr>
        <w:t>Anthropic (USA) — nur pseudonymisiert über das Privacy-Gateway.</w:t>
      </w:r>
      <w:r>
        <w:rPr>
          <w:b w:val="0"/>
          <w:i w:val="0"/>
        </w:rPr>
        <w:t xml:space="preserve"> Die</w:t>
        <w:br/>
        <w:t>übrigen automatischen Schritte laufen bei Anthropic, einem Unternehmen in den</w:t>
        <w:br/>
        <w:t>USA, über dessen weltweiten Endpunkt: E-Mails sortieren und Antworten</w:t>
        <w:br/>
        <w:t>entwerfen, Schadensberichte für Versicherungsfälle, Angebots- und</w:t>
        <w:br/>
        <w:t>Mahnungsentwürfe, Einsatzvorschläge und Berichtszusammenfassungen. Für einen</w:t>
        <w:br/>
        <w:t xml:space="preserve">Betrieb in der EU geht </w:t>
      </w:r>
      <w:r>
        <w:rPr>
          <w:b/>
          <w:i w:val="0"/>
        </w:rPr>
        <w:t>jede</w:t>
      </w:r>
      <w:r>
        <w:rPr>
          <w:b w:val="0"/>
          <w:i w:val="0"/>
        </w:rPr>
        <w:t xml:space="preserve"> dieser Anfragen zuerst durch unser</w:t>
        <w:br/>
        <w:t>Privacy-Gateway, das auf unseren eigenen Servern in der EU läuft:</w:t>
      </w:r>
    </w:p>
    <w:p>
      <w:pPr>
        <w:pStyle w:val="ListNumber"/>
      </w:pPr>
      <w:r>
        <w:rPr>
          <w:b w:val="0"/>
          <w:i w:val="0"/>
        </w:rPr>
        <w:t>Es sucht Namen von Kunden, Personal, Lieferanten und Ansprechpersonen,</w:t>
        <w:br/>
        <w:t>Firmennamen, Adressen, Telefonnummern, E-Mail-Adressen, IBANs,</w:t>
        <w:br/>
        <w:t>Kennzeichen und Steuer-/UID-Nummern — aus den Datensätzen des Betriebs</w:t>
        <w:br/>
        <w:t>(bei einer Anfrage einer Person aus den Datensätzen, die diese Person sehen</w:t>
        <w:br/>
        <w:t>darf) und nach festen Mustern; zusätzlich markiert Mistral (EU-Endpunkt)</w:t>
        <w:br/>
        <w:t>Namen und Adressen im Freitext.</w:t>
      </w:r>
    </w:p>
    <w:p>
      <w:pPr>
        <w:pStyle w:val="ListNumber"/>
      </w:pPr>
      <w:r>
        <w:rPr>
          <w:b w:val="0"/>
          <w:i w:val="0"/>
        </w:rPr>
        <w:t xml:space="preserve">Es ersetzt jeden Fund durch einen Platzhalter wie </w:t>
      </w:r>
      <w:r>
        <w:rPr>
          <w:b w:val="0"/>
          <w:i w:val="0"/>
        </w:rPr>
        <w:t>[CUSTOMER_12]</w:t>
      </w:r>
      <w:r>
        <w:rPr>
          <w:b w:val="0"/>
          <w:i w:val="0"/>
        </w:rPr>
        <w:t xml:space="preserve"> oder</w:t>
        <w:br/>
      </w:r>
      <w:r>
        <w:rPr>
          <w:b w:val="0"/>
          <w:i w:val="0"/>
        </w:rPr>
        <w:t>[PHONE_2]</w:t>
      </w:r>
      <w:r>
        <w:rPr>
          <w:b w:val="0"/>
          <w:i w:val="0"/>
        </w:rPr>
        <w:t>. Ein Platzhalter gilt nur für diese eine Anfrage: Die Zuordnung</w:t>
        <w:br/>
        <w:t>von Platzhalter und Wert besteht nur im Arbeitsspeicher unseres Servers,</w:t>
        <w:br/>
        <w:t>solange die Anfrage läuft, und verlässt nie die EU. Werte aus den Datensätzen des Betriebs, die das Gateway erkennt, liegen</w:t>
        <w:br/>
        <w:t>verschlüsselt in unserer Datenbank in der EU; bei einer Anfrage einer Person</w:t>
        <w:br/>
        <w:t>erhalten andere Funde nur einen vorübergehenden Verweis für diese eine</w:t>
        <w:br/>
        <w:t>Anfrage.</w:t>
      </w:r>
    </w:p>
    <w:p>
      <w:pPr>
        <w:pStyle w:val="ListNumber"/>
      </w:pPr>
      <w:r>
        <w:rPr>
          <w:b w:val="0"/>
          <w:i w:val="0"/>
        </w:rPr>
        <w:t>Es prüft den Text vor dem Senden noch einmal. Findet es noch einen</w:t>
        <w:br/>
        <w:t xml:space="preserve">bekannten Wert, wird </w:t>
      </w:r>
      <w:r>
        <w:rPr>
          <w:b/>
          <w:i w:val="0"/>
        </w:rPr>
        <w:t>nichts gesendet</w:t>
      </w:r>
      <w:r>
        <w:rPr>
          <w:b w:val="0"/>
          <w:i w:val="0"/>
        </w:rPr>
        <w:t>; ein Mensch im Betrieb sieht die</w:t>
        <w:br/>
        <w:t>Aufgabe auf der Seite „Freigaben".</w:t>
      </w:r>
    </w:p>
    <w:p>
      <w:pPr>
        <w:pStyle w:val="ListNumber"/>
      </w:pPr>
      <w:r>
        <w:rPr>
          <w:b w:val="0"/>
          <w:i w:val="0"/>
        </w:rPr>
        <w:t>Die Antwort wird in der EU zurückgeführt: Nur die Platzhalter, die für</w:t>
        <w:br/>
        <w:t>diese Anfrage vergeben wurden, werden ersetzt — und bei einer Anfrage einer</w:t>
        <w:br/>
        <w:t>Person nur mit Werten aus Datensätzen, die diese Person in diesem Moment</w:t>
        <w:br/>
        <w:t>noch sehen darf. Alles andere bleibt Platzhalter; was nur wie ein</w:t>
        <w:br/>
        <w:t>Platzhalter aussieht (etwa einer, der in eine Nachricht getippt wurde),</w:t>
        <w:br/>
        <w:t>wird nie ausgefüllt.</w:t>
      </w:r>
    </w:p>
    <w:p>
      <w:r>
        <w:rPr>
          <w:b w:val="0"/>
          <w:i w:val="0"/>
        </w:rPr>
        <w:t>Anthropic erhält damit den Arbeitsinhalt mit Platzhaltern statt dieser</w:t>
        <w:br/>
        <w:t xml:space="preserve">Angaben. Das sind </w:t>
      </w:r>
      <w:r>
        <w:rPr>
          <w:b/>
          <w:i w:val="0"/>
        </w:rPr>
        <w:t>pseudonymisierte</w:t>
      </w:r>
      <w:r>
        <w:rPr>
          <w:b w:val="0"/>
          <w:i w:val="0"/>
        </w:rPr>
        <w:t xml:space="preserve"> Daten, keine anonymen: Angaben, die eine</w:t>
        <w:br/>
        <w:t>Person ohne Namen erkennbar machen (etwa eine ungewöhnliche</w:t>
        <w:br/>
        <w:t>Schadensbeschreibung oder Datum und Ort zusammen), erkennt das Gateway nicht.</w:t>
        <w:br/>
        <w:t>Übermittlungsgrundlage: Für Drittlandübermittlungen gelten die jeweils einschlägigen Rechtsgrundlagen und vertraglichen Schutzmaßnahmen nach Art. 44 ff. DSGVO.</w:t>
      </w:r>
    </w:p>
    <w:p>
      <w:r>
        <w:rPr>
          <w:b/>
          <w:i w:val="0"/>
        </w:rPr>
        <w:t>Wenn die Prüfung scheitert oder unvollständig ist.</w:t>
      </w:r>
      <w:r>
        <w:rPr>
          <w:b w:val="0"/>
          <w:i w:val="0"/>
        </w:rPr>
        <w:t xml:space="preserve"> Ist die Markierung</w:t>
        <w:br/>
        <w:t>durch Mistral nicht erreichbar, zu langsam, liefert sie ein unklares Ergebnis</w:t>
        <w:br/>
        <w:t>oder meldet sie sich selbst als unvollständig, oder kann das Gateway seine</w:t>
        <w:br/>
        <w:t xml:space="preserve">Prüfung aus einem anderen Grund nicht abschließen, wird die Anfrage </w:t>
      </w:r>
      <w:r>
        <w:rPr>
          <w:b/>
          <w:i w:val="0"/>
        </w:rPr>
        <w:t>nicht</w:t>
      </w:r>
      <w:r>
        <w:rPr>
          <w:b w:val="0"/>
          <w:i w:val="0"/>
        </w:rPr>
        <w:br/>
        <w:t>an Anthropic gesendet; sie wartet auf einen Menschen im Betrieb auf der Seite</w:t>
        <w:br/>
        <w:t>„Freigaben". Solche Fälle werden monatlich gezählt und unserem Betrieb</w:t>
        <w:br/>
        <w:t>gemeldet. (Solange der Assistent im Programm wie heute eingestellt über</w:t>
        <w:br/>
        <w:t>Mistral in der EU läuft, gehen seine Anfragen gar nicht durch das Gateway.)</w:t>
      </w:r>
    </w:p>
    <w:p>
      <w:r>
        <w:rPr>
          <w:b/>
          <w:i w:val="0"/>
        </w:rPr>
        <w:t>Grenzen der Erkennung.</w:t>
      </w:r>
      <w:r>
        <w:rPr>
          <w:b w:val="0"/>
          <w:i w:val="0"/>
        </w:rPr>
        <w:t xml:space="preserve"> Das Gateway erkennt, was in den Datensätzen des</w:t>
        <w:br/>
        <w:t>Betriebs steht und was seine festen Muster beschreiben; zusätzlich markiert</w:t>
        <w:br/>
        <w:t>Mistral Namen und Adressen. Ein Name oder eine Angabe, die keines davon</w:t>
        <w:br/>
        <w:t>erkennt — ein ungewöhnlicher Spitzname, eine ungewöhnliche Schreibweise oder</w:t>
        <w:br/>
        <w:t>eine Beschreibung, die eine Person ohne Namen erkennbar macht —, kann</w:t>
        <w:br/>
        <w:t>Anthropic so erreichen, wie sie geschrieben ist; das Gateway kann nicht</w:t>
        <w:br/>
        <w:t>erkennen, dass es sie übersehen hat.</w:t>
      </w:r>
    </w:p>
    <w:p>
      <w:r>
        <w:rPr>
          <w:b/>
          <w:i w:val="0"/>
        </w:rPr>
        <w:t>Nachweis.</w:t>
      </w:r>
      <w:r>
        <w:rPr>
          <w:b w:val="0"/>
          <w:i w:val="0"/>
        </w:rPr>
        <w:t xml:space="preserve"> Bevor eine Anfrage an Anthropic gesendet wird, halten wir fest,</w:t>
        <w:br/>
        <w:t>dass sie gesendet werden soll; kann das nicht gespeichert werden, wird nichts</w:t>
        <w:br/>
        <w:t>gesendet. Nach der Anfrage halten wir ihr Ergebnis fest (gesendet, in der EU</w:t>
        <w:br/>
        <w:t>bearbeitet, abgelehnt oder Anbieterfehler). Beide Einträge enthalten Betrieb,</w:t>
        <w:br/>
        <w:t xml:space="preserve">Schritt, Anbieter, Anzahl der Platzhalter je Art und Zeiten — </w:t>
      </w:r>
      <w:r>
        <w:rPr>
          <w:b/>
          <w:i w:val="0"/>
        </w:rPr>
        <w:t>nie</w:t>
      </w:r>
      <w:r>
        <w:rPr>
          <w:b w:val="0"/>
          <w:i w:val="0"/>
        </w:rPr>
        <w:t xml:space="preserve"> einen</w:t>
        <w:br/>
        <w:t>Namen oder anderen Wert. Eine Anfrage ohne Ergebniseintrag (etwa nach einem</w:t>
        <w:br/>
        <w:t>Serverabsturz) gilt als mit unbekanntem Ergebnis. Der Betrieb kann</w:t>
        <w:br/>
        <w:t>diesen Nachweis je Monat auf der Seite „Protokoll" ansehen und herunterladen.</w:t>
      </w:r>
    </w:p>
    <w:p>
      <w:r>
        <w:rPr>
          <w:b/>
          <w:i w:val="0"/>
        </w:rPr>
        <w:t>Betriebe in den USA.</w:t>
      </w:r>
      <w:r>
        <w:rPr>
          <w:b w:val="0"/>
          <w:i w:val="0"/>
        </w:rPr>
        <w:t xml:space="preserve"> Die Anfragen eines Betriebs mit Sitz in den USA gehen</w:t>
        <w:br/>
        <w:t>ohne Gateway an Anthropic.</w:t>
      </w:r>
    </w:p>
    <w:p>
      <w:pPr>
        <w:pStyle w:val="Heading1"/>
      </w:pPr>
      <w:r>
        <w:rPr>
          <w:b w:val="0"/>
          <w:i w:val="0"/>
        </w:rPr>
        <w:t>10. WhatsApp-Nachrichten</w:t>
      </w:r>
    </w:p>
    <w:p>
      <w:r>
        <w:rPr>
          <w:b w:val="0"/>
          <w:i w:val="0"/>
        </w:rPr>
        <w:t xml:space="preserve">Ab Aktivierung — wenn ein Betrieb seine </w:t>
      </w:r>
      <w:r>
        <w:rPr>
          <w:b/>
          <w:i w:val="0"/>
        </w:rPr>
        <w:t>eigene</w:t>
      </w:r>
      <w:r>
        <w:rPr>
          <w:b w:val="0"/>
          <w:i w:val="0"/>
        </w:rPr>
        <w:t xml:space="preserve"> WhatsApp-Nummer mit</w:t>
        <w:br/>
        <w:t>Necesso verbindet (über die WhatsApp Business Platform von Meta Platforms</w:t>
        <w:br/>
        <w:t>Ireland Ltd) — stellt Meta die Nachrichten der Kundinnen und Kunden an diese</w:t>
        <w:br/>
        <w:t>Nummer an Necesso zu und versendet die Antworten des Betriebs. Dabei verarbeiten Meta und Necesso:</w:t>
        <w:br/>
        <w:t>Texte, Fotos, Dokumente, Sprachnachrichten, Telefonnummern und Namen sowie die</w:t>
        <w:br/>
        <w:t>genehmigten Nachrichtenvorlagen. Meta verarbeitet WhatsApp-Verkehr nach seinen</w:t>
        <w:br/>
        <w:t>eigenen Bedingungen; die Nummer bleibt die des Betriebs. Der Zugangsschlüssel</w:t>
        <w:br/>
        <w:t>des Betriebs ist bei uns verschlüsselt gespeichert. Sprachnachrichten werden</w:t>
        <w:br/>
        <w:t xml:space="preserve">auf unserem eigenen Server in Text umgewandelt. </w:t>
      </w:r>
      <w:r>
        <w:rPr>
          <w:b/>
          <w:i w:val="0"/>
        </w:rPr>
        <w:t>WhatsApp-Texte eines Betriebs</w:t>
        <w:br/>
        <w:t>in der EU werden nie an Anthropic gesendet.</w:t>
      </w:r>
    </w:p>
    <w:p>
      <w:pPr>
        <w:pStyle w:val="Heading1"/>
      </w:pPr>
      <w:r>
        <w:rPr>
          <w:b w:val="0"/>
          <w:i w:val="0"/>
        </w:rPr>
        <w:t>11. Aufzeichnung und Transkription von Anrufen</w:t>
      </w:r>
    </w:p>
    <w:p>
      <w:r>
        <w:rPr>
          <w:b w:val="0"/>
          <w:i w:val="0"/>
        </w:rPr>
        <w:t>Ab Aktivierung — wenn ein Betrieb eine Telefonnummer in Necesso einschaltet</w:t>
        <w:br/>
        <w:t>(über Twilio Ireland Ltd, Region IE1, Irland) — gilt für Anrufe auf diese</w:t>
        <w:br/>
        <w:t>Nummer:</w:t>
      </w:r>
    </w:p>
    <w:p>
      <w:pPr>
        <w:pStyle w:val="ListBullet"/>
      </w:pPr>
      <w:r>
        <w:rPr>
          <w:b/>
          <w:i w:val="0"/>
        </w:rPr>
        <w:t>Ansage:</w:t>
      </w:r>
      <w:r>
        <w:rPr>
          <w:b w:val="0"/>
          <w:i w:val="0"/>
        </w:rPr>
        <w:t xml:space="preserve"> Zu Beginn jedes Anrufs hört die anrufende Person eine Ansage.</w:t>
        <w:br/>
        <w:t>Der Standardtext lautet „Dieses Gespräch wird transkribiert." (auf</w:t>
        <w:br/>
        <w:t>Englisch: „This call will be transcribed."); der Betrieb kann einen eigenen</w:t>
        <w:br/>
        <w:t>Text hinterlegen.</w:t>
      </w:r>
    </w:p>
    <w:p>
      <w:pPr>
        <w:pStyle w:val="ListBullet"/>
      </w:pPr>
      <w:r>
        <w:rPr>
          <w:b w:val="0"/>
          <w:i w:val="0"/>
        </w:rPr>
        <w:t>Der Anruf wird an das Telefon des Betriebs weitergeleitet und</w:t>
        <w:br/>
      </w:r>
      <w:r>
        <w:rPr>
          <w:b/>
          <w:i w:val="0"/>
        </w:rPr>
        <w:t>aufgezeichnet</w:t>
      </w:r>
      <w:r>
        <w:rPr>
          <w:b w:val="0"/>
          <w:i w:val="0"/>
        </w:rPr>
        <w:t>.</w:t>
      </w:r>
    </w:p>
    <w:p>
      <w:pPr>
        <w:pStyle w:val="ListBullet"/>
      </w:pPr>
      <w:r>
        <w:rPr>
          <w:b w:val="0"/>
          <w:i w:val="0"/>
        </w:rPr>
        <w:t xml:space="preserve">Die Aufzeichnung wird in unseren Dateispeicher geholt und </w:t>
      </w:r>
      <w:r>
        <w:rPr>
          <w:b/>
          <w:i w:val="0"/>
        </w:rPr>
        <w:t>bei Twilio</w:t>
        <w:br/>
        <w:t>unmittelbar danach gelöscht</w:t>
      </w:r>
      <w:r>
        <w:rPr>
          <w:b w:val="0"/>
          <w:i w:val="0"/>
        </w:rPr>
        <w:t>.</w:t>
      </w:r>
    </w:p>
    <w:p>
      <w:pPr>
        <w:pStyle w:val="ListBullet"/>
      </w:pPr>
      <w:r>
        <w:rPr>
          <w:b w:val="0"/>
          <w:i w:val="0"/>
        </w:rPr>
        <w:t xml:space="preserve">Das </w:t>
      </w:r>
      <w:r>
        <w:rPr>
          <w:b/>
          <w:i w:val="0"/>
        </w:rPr>
        <w:t>Transkript</w:t>
      </w:r>
      <w:r>
        <w:rPr>
          <w:b w:val="0"/>
          <w:i w:val="0"/>
        </w:rPr>
        <w:t xml:space="preserve"> entsteht auf </w:t>
      </w:r>
      <w:r>
        <w:rPr>
          <w:b/>
          <w:i w:val="0"/>
        </w:rPr>
        <w:t>unserem eigenen Server</w:t>
      </w:r>
      <w:r>
        <w:rPr>
          <w:b w:val="0"/>
          <w:i w:val="0"/>
        </w:rPr>
        <w:t xml:space="preserve"> (faster-whisper)</w:t>
        <w:br/>
        <w:t>— kein KI-Anbieter erhält die Aufnahme. Das Transkript eines Betriebs in der</w:t>
        <w:br/>
        <w:t>EU geht nie an Anthropic.</w:t>
      </w:r>
    </w:p>
    <w:p>
      <w:pPr>
        <w:pStyle w:val="ListBullet"/>
      </w:pPr>
      <w:r>
        <w:rPr>
          <w:b w:val="0"/>
          <w:i w:val="0"/>
        </w:rPr>
        <w:t xml:space="preserve">Die </w:t>
      </w:r>
      <w:r>
        <w:rPr>
          <w:b/>
          <w:i w:val="0"/>
        </w:rPr>
        <w:t>Audiodatei</w:t>
      </w:r>
      <w:r>
        <w:rPr>
          <w:b w:val="0"/>
          <w:i w:val="0"/>
        </w:rPr>
        <w:t xml:space="preserve"> wird </w:t>
      </w:r>
      <w:r>
        <w:rPr>
          <w:b/>
          <w:i w:val="0"/>
        </w:rPr>
        <w:t>14 Tage, nachdem ihr Transkript vorliegt,</w:t>
      </w:r>
      <w:r>
        <w:rPr>
          <w:b w:val="0"/>
          <w:i w:val="0"/>
        </w:rPr>
        <w:br/>
        <w:t>gelöscht; das Transkript bleibt beim Vorgang. Eine Aufnahme, die nicht</w:t>
        <w:br/>
        <w:t>transkribiert werden konnte, hat kein Transkript und bleibt, bis sie</w:t>
        <w:br/>
        <w:t>gelöscht wird. Kopien in unseren internen Sicherungen bleiben (siehe</w:t>
        <w:br/>
        <w:t>„Speicherdauer").</w:t>
      </w:r>
    </w:p>
    <w:p>
      <w:r>
        <w:rPr>
          <w:b w:val="0"/>
          <w:i w:val="0"/>
        </w:rPr>
        <w:t>SMS an diese Nummer landen im Posteingang des Betriebs; das Büro kann SMS von</w:t>
        <w:br/>
        <w:t>dieser Nummer senden. Twilio verarbeitet die Telefonnummern und die SMS-Texte</w:t>
        <w:br/>
        <w:t>in der Region IE1.</w:t>
      </w:r>
    </w:p>
    <w:p>
      <w:pPr>
        <w:pStyle w:val="Heading1"/>
      </w:pPr>
      <w:r>
        <w:rPr>
          <w:b w:val="0"/>
          <w:i w:val="0"/>
        </w:rPr>
        <w:t>12. Bankanbindung</w:t>
      </w:r>
    </w:p>
    <w:p>
      <w:r>
        <w:rPr>
          <w:b w:val="0"/>
          <w:i w:val="0"/>
        </w:rPr>
        <w:t>Ab Aktivierung — wenn ein Betrieb sein eigenes Geschäftskonto verbindet</w:t>
        <w:br/>
        <w:t>(Kontoinformationsdienst nach PSD2 über Enable Banking Oy, Espoo, Finnland —</w:t>
        <w:br/>
        <w:t>ein zugelassener Anbieter, FIN-FSA) — meldet sich eine Person des Betriebs</w:t>
        <w:br/>
        <w:t xml:space="preserve">bei </w:t>
      </w:r>
      <w:r>
        <w:rPr>
          <w:b/>
          <w:i w:val="0"/>
        </w:rPr>
        <w:t>ihrer</w:t>
      </w:r>
      <w:r>
        <w:rPr>
          <w:b w:val="0"/>
          <w:i w:val="0"/>
        </w:rPr>
        <w:t xml:space="preserve"> Bank an und erteilt die Zustimmung. Enable Banking liest die Umsätze des Kontos und gibt</w:t>
        <w:br/>
        <w:t>sie an Necesso weiter: IBAN und Saldo, je Umsatz Name und IBAN der zahlenden</w:t>
        <w:br/>
        <w:t>Person, Betrag und Verwendungszweck — das sind auch personenbezogene Daten der</w:t>
        <w:br/>
        <w:t>Kundinnen und Kunden des Betriebs. Nach eigener Angabe speichert Enable Banking</w:t>
        <w:br/>
        <w:t>keine Kontodaten; die Umsätze liegen in unserer Datenbank in Deutschland. Die</w:t>
        <w:br/>
        <w:t>Zustimmungssitzung ist bei uns verschlüsselt gespeichert. Ohne Verbindung kann</w:t>
        <w:br/>
        <w:t>ein Betrieb Kontoauszugsdateien hochladen; dafür wird kein Anbieter</w:t>
        <w:br/>
        <w:t>eingeschaltet.</w:t>
      </w:r>
    </w:p>
    <w:p>
      <w:pPr>
        <w:pStyle w:val="Heading1"/>
      </w:pPr>
      <w:r>
        <w:rPr>
          <w:b w:val="0"/>
          <w:i w:val="0"/>
        </w:rPr>
        <w:t>13. Zahlungen, Buchhaltung und Großhandel</w:t>
      </w:r>
    </w:p>
    <w:p>
      <w:r>
        <w:rPr>
          <w:b w:val="0"/>
          <w:i w:val="0"/>
        </w:rPr>
        <w:t>Diese Anbieter werden erst ab Aktivierung eingesetzt — wenn ein Betrieb sie</w:t>
        <w:br/>
        <w:t>für sich einschaltet und verbindet:</w:t>
      </w:r>
    </w:p>
    <w:p>
      <w:pPr>
        <w:pStyle w:val="ListBullet"/>
      </w:pPr>
      <w:r>
        <w:rPr>
          <w:b/>
          <w:i w:val="0"/>
        </w:rPr>
        <w:t>Online-Zahlungen mit Stripe</w:t>
      </w:r>
      <w:r>
        <w:rPr>
          <w:b w:val="0"/>
          <w:i w:val="0"/>
        </w:rPr>
        <w:t xml:space="preserve"> (Stripe Payments Europe Ltd., Irland) und</w:t>
        <w:br/>
      </w:r>
      <w:r>
        <w:rPr>
          <w:b/>
          <w:i w:val="0"/>
        </w:rPr>
        <w:t>Adyen</w:t>
      </w:r>
      <w:r>
        <w:rPr>
          <w:b w:val="0"/>
          <w:i w:val="0"/>
        </w:rPr>
        <w:t xml:space="preserve"> (Adyen N.V., Niederlande): Kundinnen und Kunden des Betriebs bezahlen</w:t>
        <w:br/>
        <w:t>eine Rechnung auf einer Zahlungsseite des Anbieters (gehostete Zahlungsseite).</w:t>
        <w:br/>
      </w:r>
      <w:r>
        <w:rPr>
          <w:b/>
          <w:i w:val="0"/>
        </w:rPr>
        <w:t>Necesso sieht und speichert keine Kartendaten.</w:t>
      </w:r>
      <w:r>
        <w:rPr>
          <w:b w:val="0"/>
          <w:i w:val="0"/>
        </w:rPr>
        <w:t xml:space="preserve"> Necesso speichert den</w:t>
        <w:br/>
        <w:t>Zahlungsstatus, die Beträge, die Gebühren und die Auszahlungen an den Betrieb.</w:t>
      </w:r>
    </w:p>
    <w:p>
      <w:pPr>
        <w:pStyle w:val="ListBullet"/>
      </w:pPr>
      <w:r>
        <w:rPr>
          <w:b/>
          <w:i w:val="0"/>
        </w:rPr>
        <w:t>Bankverbindung über Enable Banking</w:t>
      </w:r>
      <w:r>
        <w:rPr>
          <w:b w:val="0"/>
          <w:i w:val="0"/>
        </w:rPr>
        <w:t xml:space="preserve"> (Enable Banking Oy, Finnland): nur</w:t>
        <w:br/>
        <w:t>lesender Zugriff auf die Kontoumsätze — Betrag, Datum, Verwendungszweck, Name</w:t>
        <w:br/>
        <w:t>und IBAN der zahlenden Person (siehe „Bankverbindung“).</w:t>
      </w:r>
    </w:p>
    <w:p>
      <w:pPr>
        <w:pStyle w:val="ListBullet"/>
      </w:pPr>
      <w:r>
        <w:rPr>
          <w:b/>
          <w:i w:val="0"/>
        </w:rPr>
        <w:t>Buchhaltungsexporte für DATEV, BMD und Lexware Office</w:t>
      </w:r>
      <w:r>
        <w:rPr>
          <w:b w:val="0"/>
          <w:i w:val="0"/>
        </w:rPr>
        <w:t>: die eigenen Daten</w:t>
        <w:br/>
        <w:t>des Betriebs gehen an seine eigene Steuerberatung oder in sein eigenes Konto</w:t>
        <w:br/>
        <w:t>beim jeweiligen Anbieter. Diese Empfänger wählt der Betrieb selbst; sie sind</w:t>
        <w:br/>
        <w:t>keine Auftragsverarbeiter von Necesso.</w:t>
      </w:r>
    </w:p>
    <w:p>
      <w:pPr>
        <w:pStyle w:val="ListBullet"/>
      </w:pPr>
      <w:r>
        <w:rPr>
          <w:b/>
          <w:i w:val="0"/>
        </w:rPr>
        <w:t>Großhandelsanbindungen über Open Masterdata und IDS Connect</w:t>
      </w:r>
      <w:r>
        <w:rPr>
          <w:b w:val="0"/>
          <w:i w:val="0"/>
        </w:rPr>
        <w:t>: Artikeldaten</w:t>
        <w:br/>
        <w:t>(Stammdaten, Preise) kommen vom Großhändler des Betriebs, Bestellungen gehen</w:t>
        <w:br/>
        <w:t>an ihn. Den Großhändler wählt der Betrieb selbst; er ist kein</w:t>
        <w:br/>
        <w:t>Auftragsverarbeiter von Necesso.</w:t>
      </w:r>
    </w:p>
    <w:p>
      <w:pPr>
        <w:pStyle w:val="Heading1"/>
      </w:pPr>
      <w:r>
        <w:rPr>
          <w:b w:val="0"/>
          <w:i w:val="0"/>
        </w:rPr>
        <w:t>14. Auslesen von Kassenbons</w:t>
      </w:r>
    </w:p>
    <w:p>
      <w:r>
        <w:rPr>
          <w:b w:val="0"/>
          <w:i w:val="0"/>
        </w:rPr>
        <w:t>Fotografiert eine Monteurin oder ein Monteur auf einem Einsatz einen</w:t>
        <w:br/>
        <w:t>Kassenbon, wird das Foto einmal in unserem Dateispeicher abgelegt. Gelesen wird</w:t>
        <w:br/>
        <w:t>es von Mistral AI auf dem EU-Endpunkt — in zwei Schritten: zuerst wird das</w:t>
        <w:br/>
        <w:t>Foto als Text gelesen, dann werden die Felder aus dem Text allein gefüllt. Das</w:t>
        <w:br/>
        <w:t>Foto geht an keinen anderen Anbieter; ist Mistral nicht erreichbar, wird der</w:t>
        <w:br/>
        <w:t>Bon von Hand eingetippt.</w:t>
      </w:r>
    </w:p>
    <w:p>
      <w:pPr>
        <w:pStyle w:val="Heading1"/>
      </w:pPr>
      <w:r>
        <w:rPr>
          <w:b w:val="0"/>
          <w:i w:val="0"/>
        </w:rPr>
        <w:t>15. Sprache auf der Baustelle</w:t>
      </w:r>
    </w:p>
    <w:p>
      <w:r>
        <w:rPr>
          <w:b w:val="0"/>
          <w:i w:val="0"/>
        </w:rPr>
        <w:t>Diktat, „Sprechen statt Ausfüllen" und der Sprachassistent nehmen im Browser</w:t>
        <w:br/>
        <w:t>auf; das Mikrofon wird nur benutzt, wenn Sie darauf tippen. Die Aufnahme geht</w:t>
        <w:br/>
        <w:t xml:space="preserve">an unseren Server und von dort an </w:t>
      </w:r>
      <w:r>
        <w:rPr>
          <w:b/>
          <w:i w:val="0"/>
        </w:rPr>
        <w:t>Voxtral von Mistral AI</w:t>
      </w:r>
      <w:r>
        <w:rPr>
          <w:b w:val="0"/>
          <w:i w:val="0"/>
        </w:rPr>
        <w:t xml:space="preserve"> — für einen</w:t>
        <w:br/>
        <w:t>Betrieb in der EU immer an den EU-Endpunkt von Mistral. Voxtral erkennt die</w:t>
        <w:br/>
        <w:t xml:space="preserve">gesprochene Sprache und wandelt die Aufnahme in Text um. Für </w:t>
      </w:r>
      <w:r>
        <w:rPr>
          <w:b/>
          <w:i w:val="0"/>
        </w:rPr>
        <w:t>Deutsch,</w:t>
        <w:br/>
        <w:t>Englisch, Ungarisch und Türkisch</w:t>
      </w:r>
      <w:r>
        <w:rPr>
          <w:b w:val="0"/>
          <w:i w:val="0"/>
        </w:rPr>
        <w:t xml:space="preserve"> (die Einstellung auf unseren Servern)</w:t>
        <w:br/>
        <w:t>verwenden wir den Text von Voxtral; in jeder</w:t>
        <w:br/>
        <w:t xml:space="preserve">anderen Sprache schreibt </w:t>
      </w:r>
      <w:r>
        <w:rPr>
          <w:b/>
          <w:i w:val="0"/>
        </w:rPr>
        <w:t>unser eigener Server</w:t>
      </w:r>
      <w:r>
        <w:rPr>
          <w:b w:val="0"/>
          <w:i w:val="0"/>
        </w:rPr>
        <w:t xml:space="preserve"> den Text (faster-whisper,</w:t>
        <w:br/>
        <w:t xml:space="preserve">kein Anbieter), ebenso, wenn Voxtral nicht antwortet. Wir </w:t>
      </w:r>
      <w:r>
        <w:rPr>
          <w:b/>
          <w:i w:val="0"/>
        </w:rPr>
        <w:t>speichern die</w:t>
        <w:br/>
        <w:t>Aufnahme nicht</w:t>
      </w:r>
      <w:r>
        <w:rPr>
          <w:b w:val="0"/>
          <w:i w:val="0"/>
        </w:rPr>
        <w:t xml:space="preserve"> — keine Datei, kein Datensatz, kein Protokoll der Worte. Eine</w:t>
        <w:br/>
        <w:t>Aufnahme ohne Netz wartet auf dem Telefon und wird dort gelöscht, sobald ihr</w:t>
        <w:br/>
        <w:t>Text zurück ist. Die eingebaute Spracherkennung von Browser oder Telefon (die</w:t>
        <w:br/>
        <w:t>Audio an Google oder Apple senden würde) wird nie verwendet. Gesprochene</w:t>
        <w:br/>
        <w:t>Antworten des Assistenten entstehen auf unserem Server (Piper). Den</w:t>
        <w:br/>
        <w:t>umgewandelten Text erhält für einen Betrieb in der EU der EU-Endpunkt von</w:t>
        <w:br/>
        <w:t>Mistral, um einen gesprochenen Bericht zu ordnen oder eine Frage zu verstehen.</w:t>
        <w:br/>
        <w:t>Anrufe, WhatsApp-Sprachnachrichten und Audio beim Auftrag gehen nie an</w:t>
        <w:br/>
        <w:t xml:space="preserve">Voxtral; sie wandelt nur unser eigener Server in Text um. </w:t>
      </w:r>
      <w:r>
        <w:rPr>
          <w:b/>
          <w:i w:val="0"/>
        </w:rPr>
        <w:t>Text aus gesprochenen</w:t>
        <w:br/>
        <w:t>Eingaben</w:t>
      </w:r>
      <w:r>
        <w:rPr>
          <w:b w:val="0"/>
          <w:i w:val="0"/>
        </w:rPr>
        <w:t xml:space="preserve"> — Diktate, Sprachnachrichten, Gesprächsprotokolle — und</w:t>
        <w:br/>
        <w:t>WhatsApp-Texte behalten diese Herkunft in den Datensätzen, die Necesso daraus</w:t>
        <w:br/>
        <w:t>anlegt (das Gespräch mit dem Assistenten, Auftragsnotizen, gesprochene</w:t>
        <w:br/>
        <w:t>Berichte, der Auftrag und die damit verknüpften Dokumente und Nachrichten):</w:t>
        <w:br/>
        <w:t>Solcher Text wird von KI nur in der EU (Mistral) verarbeitet und nie an</w:t>
        <w:br/>
        <w:t>Anthropic gesendet. Text, den eine Person von Hand in ein anderes Feld</w:t>
        <w:br/>
        <w:t>kopiert, und Datensätze von vor der Einführung dieses Schutzes tragen diese</w:t>
        <w:br/>
        <w:t>Herkunft nicht.</w:t>
      </w:r>
    </w:p>
    <w:p>
      <w:r>
        <w:rPr>
          <w:b/>
          <w:i w:val="0"/>
        </w:rPr>
        <w:t>KI-Korrektur eines Diktats.</w:t>
      </w:r>
      <w:r>
        <w:rPr>
          <w:b w:val="0"/>
          <w:i w:val="0"/>
        </w:rPr>
        <w:t xml:space="preserve"> Ein diktierter Text für eine Notiz oder eine</w:t>
        <w:br/>
        <w:t>Besichtigung geht mit den Wörtern des Auftrags (Kundenname, Einsatzadresse,</w:t>
        <w:br/>
        <w:t>Artikel) an den EU-Endpunkt von Mistral, der Hörfehler und Grammatik</w:t>
        <w:br/>
        <w:t xml:space="preserve">verbessert. Das Ergebnis ist ein </w:t>
      </w:r>
      <w:r>
        <w:rPr>
          <w:b/>
          <w:i w:val="0"/>
        </w:rPr>
        <w:t>Vorschlag</w:t>
      </w:r>
      <w:r>
        <w:rPr>
          <w:b w:val="0"/>
          <w:i w:val="0"/>
        </w:rPr>
        <w:t>: jede geänderte Stelle wird</w:t>
        <w:br/>
        <w:t>angezeigt, Zahlen werden nie geändert, sondern nachgefragt; gespeichert wird</w:t>
        <w:br/>
        <w:t>erst, was der Techniker übernimmt. Mistral erhält dabei keine Aufnahme.</w:t>
      </w:r>
    </w:p>
    <w:p>
      <w:pPr>
        <w:pStyle w:val="Heading1"/>
      </w:pPr>
      <w:r>
        <w:rPr>
          <w:b w:val="0"/>
          <w:i w:val="0"/>
        </w:rPr>
        <w:t>16. Routenplanung</w:t>
      </w:r>
    </w:p>
    <w:p>
      <w:r>
        <w:rPr>
          <w:b w:val="0"/>
          <w:i w:val="0"/>
        </w:rPr>
        <w:t>Nur wenn ein Betrieb die Routenplanung einschaltet (bei einem Kundenbetrieb ist</w:t>
        <w:br/>
        <w:t>sie anfangs aus), gehen die Adressen der Einsätze des Tages und des Büros an</w:t>
        <w:br/>
        <w:t>OpenRouteService (HeiGIT gGmbH, Heidelberg, Deutschland), um Koordinaten und</w:t>
        <w:br/>
        <w:t xml:space="preserve">Fahrzeiten zu berechnen — </w:t>
      </w:r>
      <w:r>
        <w:rPr>
          <w:b/>
          <w:i w:val="0"/>
        </w:rPr>
        <w:t>keine Namen</w:t>
      </w:r>
      <w:r>
        <w:rPr>
          <w:b w:val="0"/>
          <w:i w:val="0"/>
        </w:rPr>
        <w:t>. Necesso ermittelt keinen Standort</w:t>
        <w:br/>
        <w:t>von Geräten.</w:t>
      </w:r>
    </w:p>
    <w:p>
      <w:pPr>
        <w:pStyle w:val="Heading1"/>
      </w:pPr>
      <w:r>
        <w:rPr>
          <w:b w:val="0"/>
          <w:i w:val="0"/>
        </w:rPr>
        <w:t>17. Video und Audio beim Auftrag</w:t>
      </w:r>
    </w:p>
    <w:p>
      <w:r>
        <w:rPr>
          <w:b w:val="0"/>
          <w:i w:val="0"/>
        </w:rPr>
        <w:t xml:space="preserve">Eine technische Fachkraft oder das Büro kann beim Auftrag ein </w:t>
      </w:r>
      <w:r>
        <w:rPr>
          <w:b/>
          <w:i w:val="0"/>
        </w:rPr>
        <w:t>Video</w:t>
      </w:r>
      <w:r>
        <w:rPr>
          <w:b w:val="0"/>
          <w:i w:val="0"/>
        </w:rPr>
        <w:t xml:space="preserve"> (mit</w:t>
        <w:br/>
        <w:t xml:space="preserve">der Kamera des Telefons, 720p, bis 5 Minuten) oder eine </w:t>
      </w:r>
      <w:r>
        <w:rPr>
          <w:b/>
          <w:i w:val="0"/>
        </w:rPr>
        <w:t>Audionotiz</w:t>
      </w:r>
      <w:r>
        <w:rPr>
          <w:b w:val="0"/>
          <w:i w:val="0"/>
        </w:rPr>
        <w:br/>
        <w:t>aufnehmen oder Videodateien (MP4, MOV, WebM — bis 500 MB und 5 Minuten) und</w:t>
        <w:br/>
        <w:t>Audiodateien (M4A/AAC, MP3, WAV, OGG/Opus, WebM, 3GP, AMR, FLAC, CAF, AIFF — bis</w:t>
        <w:br/>
        <w:t>200 MB) hochladen. Die Dateien werden mit dem Auftrag in unserem Dateispeicher</w:t>
        <w:br/>
        <w:t>in Deutschland gespeichert und in die nächtliche Sicherung aufgenommen.</w:t>
        <w:br/>
      </w:r>
      <w:r>
        <w:rPr>
          <w:b/>
          <w:i w:val="0"/>
        </w:rPr>
        <w:t>Audio wird auf unserem eigenen Server in Text umgewandelt</w:t>
      </w:r>
      <w:r>
        <w:rPr>
          <w:b w:val="0"/>
          <w:i w:val="0"/>
        </w:rPr>
        <w:t xml:space="preserve"> (faster-whisper,</w:t>
        <w:br/>
        <w:t xml:space="preserve">kein KI-Anbieter); das Transkript bleibt beim Auftrag, die </w:t>
      </w:r>
      <w:r>
        <w:rPr>
          <w:b/>
          <w:i w:val="0"/>
        </w:rPr>
        <w:t>Audiodatei wird</w:t>
        <w:br/>
        <w:t>7 Tage, nachdem ihr Transkript vorliegt, gelöscht</w:t>
      </w:r>
      <w:r>
        <w:rPr>
          <w:b w:val="0"/>
          <w:i w:val="0"/>
        </w:rPr>
        <w:t xml:space="preserve"> (dieselbe Regel gilt für</w:t>
        <w:br/>
        <w:t>WhatsApp-Sprachnachrichten; Anrufaufzeichnungen nach 14 Tagen). Videos bleiben wie Fotos</w:t>
        <w:br/>
        <w:t>beim Auftrag. Ein Video oder eine Aufnahme kann Personen zeigen oder enthalten</w:t>
        <w:br/>
        <w:t>— die aufnehmende Person ist dafür verantwortlich, einen Grund dafür zu haben.</w:t>
      </w:r>
    </w:p>
    <w:p>
      <w:pPr>
        <w:pStyle w:val="Heading1"/>
      </w:pPr>
      <w:r>
        <w:rPr>
          <w:b w:val="0"/>
          <w:i w:val="0"/>
        </w:rPr>
        <w:t>18. Eigene Suchauswertung</w:t>
      </w:r>
    </w:p>
    <w:p>
      <w:r>
        <w:rPr>
          <w:b w:val="0"/>
          <w:i w:val="0"/>
        </w:rPr>
        <w:t>Um zu verstehen, wonach unsere Nutzerinnen und Nutzer suchen, speichert</w:t>
        <w:br/>
        <w:t>Necesso zu jeder Suche in der Suchleiste und jeder Frage an den Assistenten:</w:t>
        <w:br/>
        <w:t>den Betrieb, die Person, den Zeitpunkt, die Art (Suche oder Frage) und den Text</w:t>
        <w:br/>
      </w:r>
      <w:r>
        <w:rPr>
          <w:b/>
          <w:i w:val="0"/>
        </w:rPr>
        <w:t>ohne Namen</w:t>
      </w:r>
      <w:r>
        <w:rPr>
          <w:b w:val="0"/>
          <w:i w:val="0"/>
        </w:rPr>
        <w:t xml:space="preserve"> — bevor etwas gespeichert wird, ersetzen die Regeln unseres</w:t>
        <w:br/>
        <w:t>Privacy-Gateways jeden Namen, jede Adresse, Telefonnummer, E-Mail-Adresse,</w:t>
        <w:br/>
        <w:t>IBAN, jedes Kennzeichen und jede Steuernummer, die die Daten des Betriebs oder</w:t>
        <w:br/>
        <w:t xml:space="preserve">unsere Muster erkennen, durch einen Platzhalter wie </w:t>
      </w:r>
      <w:r>
        <w:rPr>
          <w:b w:val="0"/>
          <w:i w:val="0"/>
        </w:rPr>
        <w:t>[CUSTOMER_1]</w:t>
      </w:r>
      <w:r>
        <w:rPr>
          <w:b w:val="0"/>
          <w:i w:val="0"/>
        </w:rPr>
        <w:t>; der</w:t>
        <w:br/>
        <w:t>ursprüngliche Text wird nie gespeichert, und es gibt keine Liste, mit der ein</w:t>
        <w:br/>
        <w:t>Platzhalter wieder einem Namen zugeordnet werden könnte. Wird danach noch ein</w:t>
        <w:br/>
        <w:t>bekannter Wert gefunden, wird der Text gar nicht gespeichert. Ein Name, der in</w:t>
        <w:br/>
        <w:t>keinem Datensatz steht und keinem Muster entspricht, kann im Text bleiben; in</w:t>
        <w:br/>
        <w:t>den letzten Minuten eingegebene Werte werden unter Umständen noch nicht</w:t>
        <w:br/>
        <w:t>erkannt. Das</w:t>
        <w:br/>
        <w:t xml:space="preserve">ist </w:t>
      </w:r>
      <w:r>
        <w:rPr>
          <w:b/>
          <w:i w:val="0"/>
        </w:rPr>
        <w:t>reine Produktauswertung</w:t>
      </w:r>
      <w:r>
        <w:rPr>
          <w:b w:val="0"/>
          <w:i w:val="0"/>
        </w:rPr>
        <w:t>: kein Dritter erhält sie (kein</w:t>
        <w:br/>
        <w:t>Analyse-Anbieter, kein KI-Anbieter), es gibt keine Absturz- oder</w:t>
        <w:br/>
        <w:t>Leistungsauswertung, und sie ist nur für das Necesso-Team sichtbar — als</w:t>
        <w:br/>
        <w:t>zusammengefasste Zahlen, mit verschlüsselten (gehashten) Personenkennungen —</w:t>
        <w:br/>
        <w:t xml:space="preserve">nie für die Kundenbetriebe. Die Einträge werden </w:t>
      </w:r>
      <w:r>
        <w:rPr>
          <w:b/>
          <w:i w:val="0"/>
        </w:rPr>
        <w:t>nach 12 Monaten automatisch</w:t>
        <w:br/>
        <w:t>gelöscht</w:t>
      </w:r>
      <w:r>
        <w:rPr>
          <w:b w:val="0"/>
          <w:i w:val="0"/>
        </w:rPr>
        <w:t>, und mit der Löschung einer Person. Rechtsgrundlage: unser</w:t>
        <w:br/>
        <w:t>berechtigtes Interesse an der Verbesserung des Produkts (Art. 6 Abs. 1 lit. f</w:t>
        <w:br/>
        <w:t>DSGVO).</w:t>
      </w:r>
    </w:p>
    <w:p>
      <w:pPr>
        <w:pStyle w:val="Heading1"/>
      </w:pPr>
      <w:r>
        <w:rPr>
          <w:b w:val="0"/>
          <w:i w:val="0"/>
        </w:rPr>
        <w:t>19. Support</w:t>
      </w:r>
    </w:p>
    <w:p>
      <w:r>
        <w:rPr>
          <w:b w:val="0"/>
          <w:i w:val="0"/>
        </w:rPr>
        <w:t>Hinter der Anmeldung öffnet „Support" unsere Support-Seite, den Hilfe-Chat</w:t>
        <w:br/>
        <w:t>(beantwortet Fragen zu jeder Funktion; er läuft über den EU-Endpunkt von</w:t>
        <w:br/>
        <w:t>Mistral und erhält nur die Frage und die Hilfeartikel des Programms — keine</w:t>
        <w:br/>
        <w:t>Daten des Betriebs) und, wenn Sie einen Menschen brauchen, die Möglichkeit, den</w:t>
        <w:br/>
        <w:t>Necesso-Support anzurufen, per WhatsApp anzuschreiben oder per E-Mail zu</w:t>
        <w:br/>
        <w:t xml:space="preserve">erreichen. </w:t>
      </w:r>
      <w:r>
        <w:rPr>
          <w:b/>
          <w:i w:val="0"/>
        </w:rPr>
        <w:t>Der Verlauf des Support-Chats wird aufbewahrt, bis er gelöscht</w:t>
        <w:br/>
        <w:t>wird</w:t>
      </w:r>
      <w:r>
        <w:rPr>
          <w:b w:val="0"/>
          <w:i w:val="0"/>
        </w:rPr>
        <w:t xml:space="preserve"> (Entscheidung von Manolo): eine Person kann ein Gespräch aus ihrer Liste</w:t>
        <w:br/>
        <w:t>entfernen, und er wird mit der Löschung der Person gelöscht; eine automatische</w:t>
        <w:br/>
        <w:t>Löschung gibt es nicht.</w:t>
      </w:r>
    </w:p>
    <w:p>
      <w:pPr>
        <w:pStyle w:val="Heading1"/>
      </w:pPr>
      <w:r>
        <w:rPr>
          <w:b w:val="0"/>
          <w:i w:val="0"/>
        </w:rPr>
        <w:t>20. Server-Protokolle und Browser</w:t>
      </w:r>
    </w:p>
    <w:p>
      <w:r>
        <w:rPr>
          <w:b/>
          <w:i w:val="0"/>
        </w:rPr>
        <w:t>Server-Protokolle</w:t>
      </w:r>
      <w:r>
        <w:rPr>
          <w:b w:val="0"/>
          <w:i w:val="0"/>
        </w:rPr>
        <w:t xml:space="preserve"> (die technischen Meldungen des Programms: welche Adresse</w:t>
        <w:br/>
        <w:t>wann mit welchem Ergebnis aufgerufen wurde, und Fehler — keine Passwörter, keine Inhalte und keine Namen,</w:t>
        <w:br/>
        <w:t xml:space="preserve">E-Mail-Adressen, Telefonnummern oder anderen personenbezogenen Angaben) werden </w:t>
      </w:r>
      <w:r>
        <w:rPr>
          <w:b/>
          <w:i w:val="0"/>
        </w:rPr>
        <w:t>30 Tage aufbewahrt</w:t>
      </w:r>
      <w:r>
        <w:rPr>
          <w:b w:val="0"/>
          <w:i w:val="0"/>
        </w:rPr>
        <w:t>. Da unsere Server hinter unserem eigenen</w:t>
        <w:br/>
        <w:t>Proxy liegen, enthalten die Protokolle dessen interne Adresse, nicht Ihre</w:t>
        <w:br/>
        <w:t>IP-Adresse. Das Sicherheitsprotokoll der Anmeldungen (Anmeldungen,</w:t>
        <w:br/>
        <w:t>Fehlversuche, Zwei-Faktor-Ereignisse) gehört zu den Daten des Betriebs und wird</w:t>
        <w:br/>
        <w:t>mit ihnen aufbewahrt.</w:t>
      </w:r>
    </w:p>
    <w:p>
      <w:r>
        <w:rPr>
          <w:b/>
          <w:i w:val="0"/>
        </w:rPr>
        <w:t>In Ihrem Browser</w:t>
      </w:r>
      <w:r>
        <w:rPr>
          <w:b w:val="0"/>
          <w:i w:val="0"/>
        </w:rPr>
        <w:t xml:space="preserve"> speichert das Programm: das Anmelde-Cookie</w:t>
        <w:br/>
      </w:r>
      <w:r>
        <w:rPr>
          <w:b w:val="0"/>
          <w:i w:val="0"/>
        </w:rPr>
        <w:t>necesso_session</w:t>
      </w:r>
      <w:r>
        <w:rPr>
          <w:b w:val="0"/>
          <w:i w:val="0"/>
        </w:rPr>
        <w:t xml:space="preserve"> (HttpOnly; für die Browsersitzung, oder ein Jahr mit</w:t>
        <w:br/>
        <w:t xml:space="preserve">„angemeldet bleiben"); bei Zwei-Faktor-Anmeldung das Cookie </w:t>
      </w:r>
      <w:r>
        <w:rPr>
          <w:b w:val="0"/>
          <w:i w:val="0"/>
        </w:rPr>
        <w:t>necesso_device</w:t>
      </w:r>
      <w:r>
        <w:rPr>
          <w:b w:val="0"/>
          <w:i w:val="0"/>
        </w:rPr>
        <w:br/>
        <w:t>für ein gemerktes Gerät (400 Tage, bei Nutzung erneuert); die gewählte Sprache;</w:t>
        <w:br/>
        <w:t>ob gesprochene Antworten eingeschaltet sind; den Tag, an dem der Hinweis „Tag</w:t>
        <w:br/>
        <w:t>beginnen" beantwortet wurde; einen unterbrochenen großen Upload, damit er</w:t>
        <w:br/>
        <w:t xml:space="preserve">weiterlaufen kann; Ihre </w:t>
      </w:r>
      <w:r>
        <w:rPr>
          <w:b/>
          <w:i w:val="0"/>
        </w:rPr>
        <w:t>nicht gespeicherten Eingaben (Entwürfe)</w:t>
      </w:r>
      <w:r>
        <w:rPr>
          <w:b w:val="0"/>
          <w:i w:val="0"/>
        </w:rPr>
        <w:t xml:space="preserve"> je Ansicht,</w:t>
        <w:br/>
        <w:t>damit nichts verloren geht — gelöscht, sobald gespeichert, oder nach 30 Tagen,</w:t>
        <w:br/>
        <w:t>und bei der Abmeldung, außer Sie haben „angemeldet bleiben" gewählt; während</w:t>
        <w:br/>
        <w:t>ein Zwei-Faktor-Code eingegeben wird, dessen Ticket (bis der Tab geschlossen</w:t>
        <w:br/>
        <w:t>wird); Diktat-Aufnahmen ohne Netz (gelöscht, sobald ihr Text zurück ist, und</w:t>
        <w:br/>
        <w:t>bei der Abmeldung — das Programm sendet vorher, was noch wartet, und sagt es</w:t>
        <w:br/>
        <w:t>Ihnen, bevor es ein Diktat löscht, das sein Feld noch nicht erreicht hat; eine</w:t>
        <w:br/>
        <w:t>Aufnahme wird immer nur für die Person gesendet, die sie gemacht hat); und</w:t>
        <w:br/>
        <w:t>einen kurzen Zwischenspeicher zuletzt angesehener Daten und Bilder für die</w:t>
        <w:br/>
        <w:t>Nutzung ohne Netz (ein Tag / sieben Tage, bei der Abmeldung geleert); das</w:t>
        <w:br/>
        <w:t xml:space="preserve">Cookie </w:t>
      </w:r>
      <w:r>
        <w:rPr>
          <w:b w:val="0"/>
          <w:i w:val="0"/>
        </w:rPr>
        <w:t>necesso_kd</w:t>
      </w:r>
      <w:r>
        <w:rPr>
          <w:b w:val="0"/>
          <w:i w:val="0"/>
        </w:rPr>
        <w:t>, das ein Gerät wiedererkennt, auf dem Sie sich schon</w:t>
        <w:br/>
        <w:t>angemeldet haben, und nur dem Anmeldeschutz dient (180 Tage; auf einem geteilten Gerät für</w:t>
        <w:br/>
        <w:t>höchstens fünf Konten). Mit einem</w:t>
        <w:br/>
      </w:r>
      <w:r>
        <w:rPr>
          <w:b/>
          <w:i w:val="0"/>
        </w:rPr>
        <w:t>Passkey</w:t>
      </w:r>
      <w:r>
        <w:rPr>
          <w:b w:val="0"/>
          <w:i w:val="0"/>
        </w:rPr>
        <w:t xml:space="preserve"> (Fingerabdruck, Gesicht oder Geräteentsperrung) bleibt der private</w:t>
        <w:br/>
        <w:t>Schlüssel auf Ihrem Gerät; Necesso speichert den öffentlichen Schlüssel, die Kennung des Schlüssels, Browser und System, auf denen er eingerichtet wurde, und wann er zuletzt verwendet wurde. Es</w:t>
        <w:br/>
        <w:t>werden keine Werbe- oder Tracking-Cookies verwendet.</w:t>
      </w:r>
    </w:p>
    <w:p>
      <w:r>
        <w:rPr>
          <w:b/>
          <w:i w:val="0"/>
        </w:rPr>
        <w:t>Anmeldeschutz.</w:t>
      </w:r>
      <w:r>
        <w:rPr>
          <w:b w:val="0"/>
          <w:i w:val="0"/>
        </w:rPr>
        <w:t xml:space="preserve"> Nach wiederholt falschen Passwörtern wird die Anmeldung zu</w:t>
        <w:br/>
        <w:t>einem Konto kurz pausiert (nie dauerhaft), und die Kontoinhaberin oder der</w:t>
        <w:br/>
        <w:t>Kontoinhaber erhält eine E-Mail. Wird ein Passwort über einen</w:t>
        <w:br/>
        <w:t>Einladungs- oder Zurücksetzungslink festgelegt, prüfen wir, ob es in bekannten</w:t>
        <w:br/>
        <w:t>Datenlecks vorkommt: Nur die ersten fünf Zeichen eines Hashwerts des Passworts</w:t>
        <w:br/>
        <w:t>werden an den Dienst „Have I Been Pwned" gesendet — nie das Passwort selbst.</w:t>
        <w:br/>
        <w:t>Ist der Dienst nicht erreichbar, wird das Passwort angenommen.</w:t>
      </w:r>
    </w:p>
    <w:p>
      <w:pPr>
        <w:pStyle w:val="Heading1"/>
      </w:pPr>
      <w:r>
        <w:rPr>
          <w:b w:val="0"/>
          <w:i w:val="0"/>
        </w:rPr>
        <w:t>21. Konto löschen</w:t>
      </w:r>
    </w:p>
    <w:p>
      <w:r>
        <w:rPr>
          <w:b w:val="0"/>
          <w:i w:val="0"/>
        </w:rPr>
        <w:t>Jede Person mit einem Necesso-Konto — Inhaberin, Inhaber und eingeladene</w:t>
        <w:br/>
        <w:t xml:space="preserve">Beschäftigte — kann ihr Konto selbst löschen: im Profil unter </w:t>
      </w:r>
      <w:r>
        <w:rPr>
          <w:b/>
          <w:i w:val="0"/>
        </w:rPr>
        <w:t>„Konto</w:t>
        <w:br/>
        <w:t>löschen“</w:t>
      </w:r>
      <w:r>
        <w:rPr>
          <w:b w:val="0"/>
          <w:i w:val="0"/>
        </w:rPr>
        <w:t>, bestätigt mit dem Passwort (und dem zweiten Schritt, wenn die</w:t>
        <w:br/>
        <w:t>Zwei-Faktor-Anmeldung eingeschaltet ist). Ohne Anmeldung geht es über</w:t>
        <w:br/>
        <w:t>necesso.ai/konto-loeschen.</w:t>
      </w:r>
    </w:p>
    <w:p>
      <w:pPr>
        <w:pStyle w:val="ListBullet"/>
      </w:pPr>
      <w:r>
        <w:rPr>
          <w:b/>
          <w:i w:val="0"/>
        </w:rPr>
        <w:t>Sofort</w:t>
      </w:r>
      <w:r>
        <w:rPr>
          <w:b w:val="0"/>
          <w:i w:val="0"/>
        </w:rPr>
        <w:t>: die Person wird auf allen Geräten abgemeldet; ihre Anmeldung,</w:t>
        <w:br/>
        <w:t>ihr Name, ihre E-Mail-Adresse, ihr Passwort, ihre Einstellungen, ihre</w:t>
        <w:br/>
        <w:t>Gespräche mit dem Assistenten, ihre Abwesenheiten und ihre Einstufung werden</w:t>
        <w:br/>
        <w:t>gelöscht oder durch eine neutrale Bezeichnung ersetzt — spätestens innerhalb</w:t>
        <w:br/>
        <w:t>von 30 Tagen.</w:t>
      </w:r>
    </w:p>
    <w:p>
      <w:pPr>
        <w:pStyle w:val="ListBullet"/>
      </w:pPr>
      <w:r>
        <w:rPr>
          <w:b/>
          <w:i w:val="0"/>
        </w:rPr>
        <w:t>Bleibt beim Betrieb</w:t>
      </w:r>
      <w:r>
        <w:rPr>
          <w:b w:val="0"/>
          <w:i w:val="0"/>
        </w:rPr>
        <w:t>: Rechnungen und andere Belege, die der Betrieb</w:t>
        <w:br/>
        <w:t>gesetzlich aufbewahren muss (in Österreich sieben Jahre, § 132 BAO), sowie</w:t>
        <w:br/>
        <w:t>erfasste Arbeitszeiten und Berichte — sie zeigen danach eine neutrale</w:t>
        <w:br/>
        <w:t>Bezeichnung statt des Namens. Solche Unterlagen können die Person weiterhin</w:t>
        <w:br/>
        <w:t>erkennbar machen (etwa über ausgestellte Dokumente) und werden nur so lange</w:t>
        <w:br/>
        <w:t>aufbewahrt, wie das Gesetz es verlangt.</w:t>
      </w:r>
    </w:p>
    <w:p>
      <w:pPr>
        <w:pStyle w:val="ListBullet"/>
      </w:pPr>
      <w:r>
        <w:rPr>
          <w:b/>
          <w:i w:val="0"/>
        </w:rPr>
        <w:t>Bestätigung</w:t>
      </w:r>
      <w:r>
        <w:rPr>
          <w:b w:val="0"/>
          <w:i w:val="0"/>
        </w:rPr>
        <w:t>: eine E-Mail an die Adresse des gelöschten Kontos; sobald</w:t>
        <w:br/>
        <w:t>sie zugestellt ist, wird auch diese Adresse in unserem Versandprotokoll</w:t>
        <w:br/>
        <w:t>gelöscht.</w:t>
      </w:r>
    </w:p>
    <w:p>
      <w:pPr>
        <w:pStyle w:val="ListBullet"/>
      </w:pPr>
      <w:r>
        <w:rPr>
          <w:b/>
          <w:i w:val="0"/>
        </w:rPr>
        <w:t>Nachweis</w:t>
      </w:r>
      <w:r>
        <w:rPr>
          <w:b w:val="0"/>
          <w:i w:val="0"/>
        </w:rPr>
        <w:t>: jede Löschung wird ohne Inhalt protokolliert (welche interne</w:t>
        <w:br/>
        <w:t>Kennung, welche Art, wann) und nach jeder Wiederherstellung einer Sicherung</w:t>
        <w:br/>
        <w:t>erneut ausgeführt.</w:t>
      </w:r>
    </w:p>
    <w:p>
      <w:pPr>
        <w:pStyle w:val="ListBullet"/>
      </w:pPr>
      <w:r>
        <w:rPr>
          <w:b/>
          <w:i w:val="0"/>
        </w:rPr>
        <w:t>Die letzte Person mit vollen Rechten</w:t>
      </w:r>
      <w:r>
        <w:rPr>
          <w:b w:val="0"/>
          <w:i w:val="0"/>
        </w:rPr>
        <w:t xml:space="preserve"> eines Betriebs übergibt den Betrieb</w:t>
        <w:br/>
        <w:t xml:space="preserve">zuerst an eine andere Person oder beantragt die </w:t>
      </w:r>
      <w:r>
        <w:rPr>
          <w:b/>
          <w:i w:val="0"/>
        </w:rPr>
        <w:t>Löschung des ganzen</w:t>
        <w:br/>
        <w:t>Betriebs</w:t>
      </w:r>
      <w:r>
        <w:rPr>
          <w:b w:val="0"/>
          <w:i w:val="0"/>
        </w:rPr>
        <w:t>: nach dem Export aller Firmendaten wird der Antrag aufgenommen,</w:t>
        <w:br/>
        <w:t>per E-Mail bestätigt und vom Necesso-Team innerhalb von 30 Tagen ausgeführt;</w:t>
        <w:br/>
        <w:t>bis dahin kann er im Profil zurückgezogen werden. Ein Betrieb wird nie</w:t>
        <w:br/>
        <w:t>sofort per Knopfdruck gelöscht.</w:t>
      </w:r>
    </w:p>
    <w:p>
      <w:pPr>
        <w:pStyle w:val="Heading1"/>
      </w:pPr>
      <w:r>
        <w:rPr>
          <w:b w:val="0"/>
          <w:i w:val="0"/>
        </w:rPr>
        <w:t>22. E-Mail-Versand</w:t>
      </w:r>
    </w:p>
    <w:p>
      <w:r>
        <w:rPr>
          <w:b w:val="0"/>
          <w:i w:val="0"/>
        </w:rPr>
        <w:t>Necesso versendet E-Mails über Scaleway (Paris, Frankreich): Dokumente als</w:t>
        <w:br/>
        <w:t>PDF, Einladungen, Passwort-Zurücksetzungen, Anmeldecodes und die Nachrichten,</w:t>
        <w:br/>
        <w:t>die ein Betrieb an seine Kundinnen, Kunden und Lieferanten sendet.</w:t>
        <w:br/>
      </w:r>
      <w:r>
        <w:rPr>
          <w:b/>
          <w:i w:val="0"/>
        </w:rPr>
        <w:t>Test- und Demobetriebe senden nie an erfundene Adressen</w:t>
      </w:r>
      <w:r>
        <w:rPr>
          <w:b w:val="0"/>
          <w:i w:val="0"/>
        </w:rPr>
        <w:t>: An reservierte</w:t>
        <w:br/>
        <w:t xml:space="preserve">Testadressen (etwa </w:t>
      </w:r>
      <w:r>
        <w:rPr>
          <w:b w:val="0"/>
          <w:i w:val="0"/>
        </w:rPr>
        <w:t>.invalid</w:t>
      </w:r>
      <w:r>
        <w:rPr>
          <w:b w:val="0"/>
          <w:i w:val="0"/>
        </w:rPr>
        <w:t xml:space="preserve">, </w:t>
      </w:r>
      <w:r>
        <w:rPr>
          <w:b w:val="0"/>
          <w:i w:val="0"/>
        </w:rPr>
        <w:t>.example</w:t>
      </w:r>
      <w:r>
        <w:rPr>
          <w:b w:val="0"/>
          <w:i w:val="0"/>
        </w:rPr>
        <w:t xml:space="preserve">, </w:t>
      </w:r>
      <w:r>
        <w:rPr>
          <w:b w:val="0"/>
          <w:i w:val="0"/>
        </w:rPr>
        <w:t>.test</w:t>
      </w:r>
      <w:r>
        <w:rPr>
          <w:b w:val="0"/>
          <w:i w:val="0"/>
        </w:rPr>
        <w:t>) wird für keinen Betrieb</w:t>
        <w:br/>
        <w:t>etwas gesendet, und ein Test- oder Demobetrieb sendet nur an Adressen, die</w:t>
        <w:br/>
        <w:t>Necesso ausdrücklich freigegeben hat (die des eigenen Teams). Meldet der</w:t>
        <w:br/>
        <w:t>Anbieter eine E-Mail als dauerhaft unzustellbar oder abgelehnt oder wurde sie</w:t>
        <w:br/>
        <w:t xml:space="preserve">als Spam gemeldet, kommt die Adresse auf eine </w:t>
      </w:r>
      <w:r>
        <w:rPr>
          <w:b/>
          <w:i w:val="0"/>
        </w:rPr>
        <w:t>Sperrliste</w:t>
      </w:r>
      <w:r>
        <w:rPr>
          <w:b w:val="0"/>
          <w:i w:val="0"/>
        </w:rPr>
        <w:t>: an sie wird</w:t>
        <w:br/>
        <w:t>nichts mehr gesendet, bis das Necesso-Team sie wieder freigibt.</w:t>
      </w:r>
    </w:p>
    <w:p>
      <w:pPr>
        <w:pStyle w:val="Heading1"/>
      </w:pPr>
      <w:r>
        <w:rPr>
          <w:b w:val="0"/>
          <w:i w:val="0"/>
        </w:rPr>
        <w:t>23. Hosting und Serverstandorte</w:t>
      </w:r>
    </w:p>
    <w:p>
      <w:r>
        <w:rPr>
          <w:b w:val="0"/>
          <w:i w:val="0"/>
        </w:rPr>
        <w:t>Website und Plattform laufen getrennt. Die Necesso-Plattform liegt auf Hetzner-Servern in Deutschland. Nächtliche Backups bleiben 14 Tage auf dem Server gespeichert; Offsite-Kopien bei Hetzner Storage Box und Scaleway in Paris werden derzeit ohne feste Endfrist aufbewahrt und vor der Übertragung von Necesso verschlüsselt. Für KI gilt Abschnitt 9; für Drittlandübermittlungen Abschnitt 6.</w:t>
      </w:r>
    </w:p>
    <w:tbl>
      <w:tblPr>
        <w:tblStyle w:val="LightShading-Accent1"/>
        <w:tblW w:type="auto" w:w="0"/>
        <w:jc w:val="center"/>
        <w:tblLook w:firstColumn="1" w:firstRow="1" w:lastColumn="0" w:lastRow="0" w:noHBand="0" w:noVBand="1" w:val="04A0"/>
      </w:tblPr>
      <w:tblGrid>
        <w:gridCol w:w="2469"/>
        <w:gridCol w:w="2469"/>
        <w:gridCol w:w="2469"/>
        <w:gridCol w:w="2469"/>
      </w:tblGrid>
      <w:tr>
        <w:trPr>
          <w:tblHeader w:val="true"/>
        </w:trPr>
        <w:tc>
          <w:tcPr>
            <w:tcW w:type="dxa" w:w="2469"/>
            <w:vAlign w:val="center"/>
          </w:tcPr>
          <w:p>
            <w:r>
              <w:rPr>
                <w:b/>
                <w:i w:val="0"/>
                <w:sz w:val="16"/>
              </w:rPr>
              <w:t>System</w:t>
            </w:r>
          </w:p>
        </w:tc>
        <w:tc>
          <w:tcPr>
            <w:tcW w:type="dxa" w:w="2469"/>
            <w:vAlign w:val="center"/>
          </w:tcPr>
          <w:p>
            <w:r>
              <w:rPr>
                <w:b/>
                <w:i w:val="0"/>
                <w:sz w:val="16"/>
              </w:rPr>
              <w:t>Anbieter</w:t>
            </w:r>
          </w:p>
        </w:tc>
        <w:tc>
          <w:tcPr>
            <w:tcW w:type="dxa" w:w="2469"/>
            <w:vAlign w:val="center"/>
          </w:tcPr>
          <w:p>
            <w:r>
              <w:rPr>
                <w:b/>
                <w:i w:val="0"/>
                <w:sz w:val="16"/>
              </w:rPr>
              <w:t>Serverstandort</w:t>
            </w:r>
          </w:p>
        </w:tc>
        <w:tc>
          <w:tcPr>
            <w:tcW w:type="dxa" w:w="2469"/>
            <w:vAlign w:val="center"/>
          </w:tcPr>
          <w:p>
            <w:r>
              <w:rPr>
                <w:b/>
                <w:i w:val="0"/>
                <w:sz w:val="16"/>
              </w:rPr>
              <w:t>Wessen Daten</w:t>
            </w:r>
          </w:p>
        </w:tc>
      </w:tr>
      <w:tr>
        <w:tc>
          <w:tcPr>
            <w:tcW w:type="dxa" w:w="2469"/>
            <w:vAlign w:val="center"/>
          </w:tcPr>
          <w:p>
            <w:r>
              <w:rPr>
                <w:b w:val="0"/>
                <w:i w:val="0"/>
                <w:sz w:val="16"/>
              </w:rPr>
              <w:t xml:space="preserve">Website </w:t>
            </w:r>
            <w:r>
              <w:rPr>
                <w:b w:val="0"/>
                <w:i w:val="0"/>
                <w:sz w:val="16"/>
              </w:rPr>
              <w:t>necesso.ai</w:t>
            </w:r>
          </w:p>
        </w:tc>
        <w:tc>
          <w:tcPr>
            <w:tcW w:type="dxa" w:w="2469"/>
            <w:vAlign w:val="center"/>
          </w:tcPr>
          <w:p>
            <w:r>
              <w:rPr>
                <w:b w:val="0"/>
                <w:i w:val="0"/>
                <w:sz w:val="16"/>
              </w:rPr>
              <w:t>Netlify, Inc.</w:t>
            </w:r>
          </w:p>
        </w:tc>
        <w:tc>
          <w:tcPr>
            <w:tcW w:type="dxa" w:w="2469"/>
            <w:vAlign w:val="center"/>
          </w:tcPr>
          <w:p>
            <w:r>
              <w:rPr>
                <w:b w:val="0"/>
                <w:i w:val="0"/>
                <w:sz w:val="16"/>
              </w:rPr>
              <w:t>Globales Netzwerk</w:t>
            </w:r>
          </w:p>
        </w:tc>
        <w:tc>
          <w:tcPr>
            <w:tcW w:type="dxa" w:w="2469"/>
            <w:vAlign w:val="center"/>
          </w:tcPr>
          <w:p>
            <w:r>
              <w:rPr>
                <w:b w:val="0"/>
                <w:i w:val="0"/>
                <w:sz w:val="16"/>
              </w:rPr>
              <w:t>Besucher der Website</w:t>
            </w:r>
          </w:p>
        </w:tc>
      </w:tr>
      <w:tr>
        <w:tc>
          <w:tcPr>
            <w:tcW w:type="dxa" w:w="2469"/>
            <w:vAlign w:val="center"/>
          </w:tcPr>
          <w:p>
            <w:r>
              <w:rPr>
                <w:b w:val="0"/>
                <w:i w:val="0"/>
                <w:sz w:val="16"/>
              </w:rPr>
              <w:t>Necesso-Plattform</w:t>
            </w:r>
          </w:p>
        </w:tc>
        <w:tc>
          <w:tcPr>
            <w:tcW w:type="dxa" w:w="2469"/>
            <w:vAlign w:val="center"/>
          </w:tcPr>
          <w:p>
            <w:r>
              <w:rPr>
                <w:b w:val="0"/>
                <w:i w:val="0"/>
                <w:sz w:val="16"/>
              </w:rPr>
              <w:t>Hetzner Online GmbH</w:t>
            </w:r>
          </w:p>
        </w:tc>
        <w:tc>
          <w:tcPr>
            <w:tcW w:type="dxa" w:w="2469"/>
            <w:vAlign w:val="center"/>
          </w:tcPr>
          <w:p>
            <w:r>
              <w:rPr>
                <w:b w:val="0"/>
                <w:i w:val="0"/>
                <w:sz w:val="16"/>
              </w:rPr>
              <w:t>Deutschland</w:t>
            </w:r>
          </w:p>
        </w:tc>
        <w:tc>
          <w:tcPr>
            <w:tcW w:type="dxa" w:w="2469"/>
            <w:vAlign w:val="center"/>
          </w:tcPr>
          <w:p>
            <w:r>
              <w:rPr>
                <w:b w:val="0"/>
                <w:i w:val="0"/>
                <w:sz w:val="16"/>
              </w:rPr>
              <w:t>Handwerksbetriebe und deren Kunden</w:t>
            </w:r>
          </w:p>
        </w:tc>
      </w:tr>
      <w:tr>
        <w:tc>
          <w:tcPr>
            <w:tcW w:type="dxa" w:w="2469"/>
            <w:vAlign w:val="center"/>
          </w:tcPr>
          <w:p>
            <w:r>
              <w:rPr>
                <w:b w:val="0"/>
                <w:i w:val="0"/>
                <w:sz w:val="16"/>
              </w:rPr>
              <w:t>Scaleway</w:t>
            </w:r>
          </w:p>
        </w:tc>
        <w:tc>
          <w:tcPr>
            <w:tcW w:type="dxa" w:w="2469"/>
            <w:vAlign w:val="center"/>
          </w:tcPr>
          <w:p>
            <w:r>
              <w:rPr>
                <w:b w:val="0"/>
                <w:i w:val="0"/>
                <w:sz w:val="16"/>
              </w:rPr>
              <w:t>Verschlüsselte Offsite-Backups</w:t>
            </w:r>
          </w:p>
        </w:tc>
        <w:tc>
          <w:tcPr>
            <w:tcW w:type="dxa" w:w="2469"/>
            <w:vAlign w:val="center"/>
          </w:tcPr>
          <w:p>
            <w:r>
              <w:rPr>
                <w:b w:val="0"/>
                <w:i w:val="0"/>
                <w:sz w:val="16"/>
              </w:rPr>
              <w:t>Paris, Frankreich</w:t>
            </w:r>
          </w:p>
        </w:tc>
        <w:tc>
          <w:tcPr>
            <w:tcW w:type="dxa" w:w="2469"/>
            <w:vAlign w:val="center"/>
          </w:tcPr>
          <w:p>
            <w:r>
              <w:rPr>
                <w:b w:val="0"/>
                <w:i w:val="0"/>
                <w:sz w:val="16"/>
              </w:rPr>
              <w:t>Backup-Daten der Kundenbetriebe</w:t>
            </w:r>
          </w:p>
        </w:tc>
      </w:tr>
    </w:tbl>
    <w:p/>
    <w:p>
      <w:r>
        <w:rPr>
          <w:b/>
          <w:i w:val="0"/>
        </w:rPr>
        <w:t>Plattform-Hosting:</w:t>
      </w:r>
      <w:r>
        <w:rPr>
          <w:b w:val="0"/>
          <w:i w:val="0"/>
        </w:rPr>
        <w:t xml:space="preserve"> Hetzner Online GmbH, Industriestr. 25, 91710 Gunzenhausen, Deutschland. Mit Hetzner besteht ein AVV nach Art. 28 DSGVO. Zusätzlich nutzt Necesso Scaleway (Paris) für verschlüsselte Offsite-Backups und ausgehende E-Mails. KI-Endpunkte und Anbieter werden gesondert in Abschnitt 9 genannt.</w:t>
      </w:r>
    </w:p>
    <w:p>
      <w:r>
        <w:rPr>
          <w:b/>
          <w:i w:val="0"/>
        </w:rPr>
        <w:t>Website-Hosting:</w:t>
      </w:r>
      <w:r>
        <w:rPr>
          <w:b w:val="0"/>
          <w:i w:val="0"/>
        </w:rPr>
        <w:t xml:space="preserve"> Netlify, Inc., 512 2nd Street, Suite 200, San Francisco, CA 94107, USA. Die Website wird über die global verteilte Infrastruktur von Netlify bereitgestellt. Eine ausschließliche Verarbeitung von Website-Besucherdaten in der EU wird nicht zugesichert. GoDaddy wird für Domainregistrierung und Domainverwaltung eingesetzt, nicht als Webhoster.</w:t>
      </w:r>
    </w:p>
    <w:p>
      <w:r>
        <w:rPr>
          <w:b/>
          <w:i w:val="0"/>
        </w:rPr>
        <w:t>Welche Daten:</w:t>
      </w:r>
      <w:r>
        <w:rPr>
          <w:b w:val="0"/>
          <w:i w:val="0"/>
        </w:rPr>
        <w:t xml:space="preserve"> Beim Aufruf der Website verarbeitet Netlify technisch notwendige Anfragedaten, insbesondere IP-Adresse, Datum und Uhrzeit, aufgerufene Seite, technische Browser- und Betriebssystemangaben sowie, soweit übermittelt, die Referrer-URL. Diese Daten dienen der Auslieferung der Website, der Fehlerdiagnose und dem Schutz vor Missbrauch.</w:t>
      </w:r>
    </w:p>
    <w:p>
      <w:r>
        <w:rPr>
          <w:b/>
          <w:i w:val="0"/>
        </w:rPr>
        <w:t>Speicherdauer der Website-Logs:</w:t>
      </w:r>
      <w:r>
        <w:rPr>
          <w:b w:val="0"/>
          <w:i w:val="0"/>
        </w:rPr>
        <w:t xml:space="preserve"> Die Aufbewahrung richtet sich nach der Art der Protokolldaten, dem genutzten Netlify-Dienst und dessen Aufbewahrungsvorgaben. Maßgeblich sind die Erforderlichkeit für Bereitstellung und Stabilität der Website, Fehlerdiagnose, Abwehr und Aufklärung von Sicherheitsvorfällen sowie gesetzliche Aufbewahrungs- und Nachweispflichten. Personenbezogene Protokolldaten sind zu löschen oder zu anonymisieren, sobald der jeweilige Zweck entfällt und keine zulässige Grundlage für eine weitere Aufbewahrung besteht. Soweit Netlify Daten in eigener Verantwortlichkeit verarbeitet, gelten die Speicher- und Löschkriterien seiner Datenschutzerklärung. Die 30-Tage-Frist für Necesso-Plattform-Logs gilt nicht für Website-Logs bei Netlify.</w:t>
      </w:r>
    </w:p>
    <w:p>
      <w:r>
        <w:rPr>
          <w:b/>
          <w:i w:val="0"/>
        </w:rPr>
        <w:t>Drittland:</w:t>
      </w:r>
      <w:r>
        <w:rPr>
          <w:b w:val="0"/>
          <w:i w:val="0"/>
        </w:rPr>
        <w:t xml:space="preserve"> Im Rahmen der globalen Bereitstellung können Website-Besucherdaten auch außerhalb der EU und des EWR, insbesondere in den USA, verarbeitet werden. Netlify beschreibt dafür das EU-US Data Privacy Framework, soweit die Übermittlung davon erfasst ist, sowie ergänzend bzw. ersatzweise EU-Standardvertragsklauseln in seinen Datenschutzbedingungen. Die Übertragung zur Website erfolgt verschlüsselt (HTTPS).</w:t>
      </w:r>
    </w:p>
    <w:p>
      <w:r>
        <w:rPr>
          <w:b/>
          <w:i w:val="0"/>
        </w:rPr>
        <w:t>Rechtsgrundlage:</w:t>
      </w:r>
      <w:r>
        <w:rPr>
          <w:b w:val="0"/>
          <w:i w:val="0"/>
        </w:rPr>
        <w:t xml:space="preserve"> Art. 6 Abs. 1 lit. f DSGVO (berechtigtes Interesse an einem sicheren und stabilen Betrieb der Website). Für die Auftragsverarbeitung sind die auf den Hostingvertrag anwendbaren Datenschutzbedingungen von Netlify einschließlich des Data Processing Agreement maßgeblich.</w:t>
      </w:r>
    </w:p>
    <w:p>
      <w:r>
        <w:rPr>
          <w:b w:val="0"/>
          <w:i w:val="0"/>
        </w:rPr>
        <w:t>Für EU-Kundenbetriebe liegt die primäre Datenhaltung in Deutschland bei Hetzner. Die Dokumentation sieht vor, US-Kundenbetriebe erst nach Einrichtung eines separaten Servers in den USA aufzunehmen. Für Mistral gilt Verarbeitung von KI-Anfragen über den EU-Endpunkt; bestimmte Konto- und Abrechnungsdaten des Anbieters können außerhalb der EU verarbeitet werden.</w:t>
      </w:r>
    </w:p>
    <w:p>
      <w:r>
        <w:rPr>
          <w:b/>
          <w:i w:val="0"/>
        </w:rPr>
        <w:t>Stand der Plattform-Backups (29. Oktober 2026):</w:t>
      </w:r>
      <w:r>
        <w:rPr>
          <w:b w:val="0"/>
          <w:i w:val="0"/>
        </w:rPr>
        <w:t xml:space="preserve"> Nächtliche Datenbank- und Dateisicherungen liegen 14 Tage auf dem Server. Zusätzliche Kopien auf der Hetzner Storage Box und bei Scaleway in Paris werden nach der aktuellen Dokumentation ohne zeitliche Begrenzung aufbewahrt. Necesso verschlüsselt jede Sicherung selbst mit AES-256, bevor sie den Server verlässt; der Schlüssel wird getrennt von den Sicherungen verwahrt. Die fehlende Endfrist der externen Kopien ist datenschutzrechtlich weiterhin zu klären. Die Angaben zur 30-Tage-Frist gelten nur für Necesso-Plattform-Serverprotokolle, nicht für Sicherungen.</w:t>
      </w:r>
    </w:p>
    <w:p>
      <w:r>
        <w:rPr>
          <w:b/>
          <w:i w:val="0"/>
        </w:rPr>
        <w:t>Weitere Informationen:</w:t>
      </w:r>
      <w:r>
        <w:rPr>
          <w:b w:val="0"/>
          <w:i w:val="0"/>
        </w:rPr>
        <w:t xml:space="preserve"> </w:t>
      </w:r>
      <w:r>
        <w:rPr>
          <w:b w:val="0"/>
          <w:i w:val="0"/>
        </w:rPr>
        <w:t>Netlify-Datenschutzerklärung</w:t>
      </w:r>
      <w:r>
        <w:rPr>
          <w:b w:val="0"/>
          <w:i w:val="0"/>
        </w:rPr>
        <w:t xml:space="preserve">; </w:t>
      </w:r>
      <w:r>
        <w:rPr>
          <w:b w:val="0"/>
          <w:i w:val="0"/>
        </w:rPr>
        <w:t>Netlify Data Processing Agreement</w:t>
      </w:r>
      <w:r>
        <w:rPr>
          <w:b w:val="0"/>
          <w:i w:val="0"/>
        </w:rPr>
        <w:t xml:space="preserve">; </w:t>
      </w:r>
      <w:r>
        <w:rPr>
          <w:b w:val="0"/>
          <w:i w:val="0"/>
        </w:rPr>
        <w:t>Netlify-Dokumentation zu Monitoring und Protokolldaten</w:t>
      </w:r>
      <w:r>
        <w:rPr>
          <w:b w:val="0"/>
          <w:i w:val="0"/>
        </w:rPr>
        <w:t>.</w:t>
      </w:r>
    </w:p>
    <w:p>
      <w:pPr>
        <w:pStyle w:val="Heading1"/>
      </w:pPr>
      <w:r>
        <w:rPr>
          <w:b w:val="0"/>
          <w:i w:val="0"/>
        </w:rPr>
        <w:t>24. Mobile Apps und Benutzerkonto</w:t>
      </w:r>
    </w:p>
    <w:p>
      <w:r>
        <w:rPr>
          <w:b w:val="0"/>
          <w:i w:val="0"/>
        </w:rPr>
        <w:t>Die Necesso-Apps für iOS und Android greifen nur mit Ihrer Erlaubnis auf Funktionen Ihres Geräts zu. Die Erlaubnis können Sie jederzeit in den Geräteeinstellungen entziehen.</w:t>
      </w:r>
    </w:p>
    <w:tbl>
      <w:tblPr>
        <w:tblStyle w:val="LightShading-Accent1"/>
        <w:tblW w:type="auto" w:w="0"/>
        <w:jc w:val="center"/>
        <w:tblLook w:firstColumn="1" w:firstRow="1" w:lastColumn="0" w:lastRow="0" w:noHBand="0" w:noVBand="1" w:val="04A0"/>
      </w:tblPr>
      <w:tblGrid>
        <w:gridCol w:w="4939"/>
        <w:gridCol w:w="4939"/>
      </w:tblGrid>
      <w:tr>
        <w:trPr>
          <w:tblHeader w:val="true"/>
        </w:trPr>
        <w:tc>
          <w:tcPr>
            <w:tcW w:type="dxa" w:w="4939"/>
            <w:vAlign w:val="center"/>
          </w:tcPr>
          <w:p>
            <w:r>
              <w:rPr>
                <w:b/>
                <w:i w:val="0"/>
                <w:sz w:val="16"/>
              </w:rPr>
              <w:t>Berechtigung</w:t>
            </w:r>
          </w:p>
        </w:tc>
        <w:tc>
          <w:tcPr>
            <w:tcW w:type="dxa" w:w="4939"/>
            <w:vAlign w:val="center"/>
          </w:tcPr>
          <w:p>
            <w:r>
              <w:rPr>
                <w:b/>
                <w:i w:val="0"/>
                <w:sz w:val="16"/>
              </w:rPr>
              <w:t>Zweck</w:t>
            </w:r>
          </w:p>
        </w:tc>
      </w:tr>
      <w:tr>
        <w:tc>
          <w:tcPr>
            <w:tcW w:type="dxa" w:w="4939"/>
            <w:vAlign w:val="center"/>
          </w:tcPr>
          <w:p>
            <w:r>
              <w:rPr>
                <w:b w:val="0"/>
                <w:i w:val="0"/>
                <w:sz w:val="16"/>
              </w:rPr>
              <w:t>Mikrofon</w:t>
            </w:r>
          </w:p>
        </w:tc>
        <w:tc>
          <w:tcPr>
            <w:tcW w:type="dxa" w:w="4939"/>
            <w:vAlign w:val="center"/>
          </w:tcPr>
          <w:p>
            <w:r>
              <w:rPr>
                <w:b w:val="0"/>
                <w:i w:val="0"/>
                <w:sz w:val="16"/>
              </w:rPr>
              <w:t>Sprachnotizen, Diktate und Anrufaufzeichnungen, soweit aktiviert und mit erforderlicher Einwilligung</w:t>
            </w:r>
          </w:p>
        </w:tc>
      </w:tr>
      <w:tr>
        <w:tc>
          <w:tcPr>
            <w:tcW w:type="dxa" w:w="4939"/>
            <w:vAlign w:val="center"/>
          </w:tcPr>
          <w:p>
            <w:r>
              <w:rPr>
                <w:b w:val="0"/>
                <w:i w:val="0"/>
                <w:sz w:val="16"/>
              </w:rPr>
              <w:t>Kamera, Fotos und Video</w:t>
            </w:r>
          </w:p>
        </w:tc>
        <w:tc>
          <w:tcPr>
            <w:tcW w:type="dxa" w:w="4939"/>
            <w:vAlign w:val="center"/>
          </w:tcPr>
          <w:p>
            <w:r>
              <w:rPr>
                <w:b w:val="0"/>
                <w:i w:val="0"/>
                <w:sz w:val="16"/>
              </w:rPr>
              <w:t>Fotos von Baustellen und Dokumenten sowie Video (720p) aufnehmen bzw. Medien an Aufträge anhängen</w:t>
            </w:r>
          </w:p>
        </w:tc>
      </w:tr>
      <w:tr>
        <w:tc>
          <w:tcPr>
            <w:tcW w:type="dxa" w:w="4939"/>
            <w:vAlign w:val="center"/>
          </w:tcPr>
          <w:p>
            <w:r>
              <w:rPr>
                <w:b w:val="0"/>
                <w:i w:val="0"/>
                <w:sz w:val="16"/>
              </w:rPr>
              <w:t>Benachrichtigungen</w:t>
            </w:r>
          </w:p>
        </w:tc>
        <w:tc>
          <w:tcPr>
            <w:tcW w:type="dxa" w:w="4939"/>
            <w:vAlign w:val="center"/>
          </w:tcPr>
          <w:p>
            <w:r>
              <w:rPr>
                <w:b w:val="0"/>
                <w:i w:val="0"/>
                <w:sz w:val="16"/>
              </w:rPr>
              <w:t>Neue Nachrichten und Aufgaben anzeigen</w:t>
            </w:r>
          </w:p>
        </w:tc>
      </w:tr>
    </w:tbl>
    <w:p/>
    <w:p>
      <w:r>
        <w:rPr>
          <w:b/>
          <w:i w:val="0"/>
        </w:rPr>
        <w:t>Kundenkontakte und App-Kontakt:</w:t>
      </w:r>
      <w:r>
        <w:rPr>
          <w:b w:val="0"/>
          <w:i w:val="0"/>
        </w:rPr>
        <w:t xml:space="preserve"> Kundenkontakte werden ausschließlich innerhalb von Necesso angelegt und verwaltet. Die App greift nicht auf das Adressbuch oder Telefonbuch Ihres Smartphones zu und benötigt keine Geräteberechtigung für Kontakte. Bei Fragen zur App erreichen Sie uns unter </w:t>
      </w:r>
      <w:r>
        <w:rPr>
          <w:b w:val="0"/>
          <w:i w:val="0"/>
        </w:rPr>
        <w:t>office@necesso.ai</w:t>
      </w:r>
      <w:r>
        <w:rPr>
          <w:b w:val="0"/>
          <w:i w:val="0"/>
        </w:rPr>
        <w:t>.</w:t>
      </w:r>
    </w:p>
    <w:p>
      <w:r>
        <w:rPr>
          <w:b/>
          <w:i w:val="0"/>
        </w:rPr>
        <w:t>Benutzerkonto:</w:t>
      </w:r>
      <w:r>
        <w:rPr>
          <w:b w:val="0"/>
          <w:i w:val="0"/>
        </w:rPr>
        <w:t xml:space="preserve"> Für die Nutzung speichern wir Name, E-Mail-Adresse, Telefonnummer, Firma und Login-Daten (Rechtsgrundlage: Art. 6 Abs. 1 lit. b DSGVO).</w:t>
      </w:r>
    </w:p>
    <w:p>
      <w:r>
        <w:rPr>
          <w:b/>
          <w:i w:val="0"/>
        </w:rPr>
        <w:t>Konto löschen:</w:t>
      </w:r>
      <w:r>
        <w:rPr>
          <w:b w:val="0"/>
          <w:i w:val="0"/>
        </w:rPr>
        <w:t xml:space="preserve"> Einzelne Nutzer können ihr eigenes Benutzerkonto direkt in der App löschen. Die Löschung eines gesamten Kundenbetriebs können Sie </w:t>
      </w:r>
      <w:r>
        <w:rPr>
          <w:b/>
          <w:i w:val="0"/>
        </w:rPr>
        <w:t>in der App beantragen</w:t>
      </w:r>
      <w:r>
        <w:rPr>
          <w:b w:val="0"/>
          <w:i w:val="0"/>
        </w:rPr>
        <w:t xml:space="preserve">; das Necesso-Team führt sie innerhalb von </w:t>
      </w:r>
      <w:r>
        <w:rPr>
          <w:b/>
          <w:i w:val="0"/>
        </w:rPr>
        <w:t>30 Tagen nach Eingang der Anfrage</w:t>
      </w:r>
      <w:r>
        <w:rPr>
          <w:b w:val="0"/>
          <w:i w:val="0"/>
        </w:rPr>
        <w:t xml:space="preserve"> im aktiven System durch, soweit keine gesetzlichen Aufbewahrungspflichten entgegenstehen. Alternativ können Sie die Löschung über die Website </w:t>
      </w:r>
      <w:r>
        <w:rPr>
          <w:b w:val="0"/>
          <w:i w:val="0"/>
        </w:rPr>
        <w:t>Konto löschen</w:t>
      </w:r>
      <w:r>
        <w:rPr>
          <w:b w:val="0"/>
          <w:i w:val="0"/>
        </w:rPr>
        <w:t xml:space="preserve"> oder per E-Mail an </w:t>
      </w:r>
      <w:r>
        <w:rPr>
          <w:b w:val="0"/>
          <w:i w:val="0"/>
        </w:rPr>
        <w:t>office@necesso.ai</w:t>
      </w:r>
      <w:r>
        <w:rPr>
          <w:b w:val="0"/>
          <w:i w:val="0"/>
        </w:rPr>
        <w:t xml:space="preserve"> beantragen. Daten können in internen Backups entsprechend deren gesonderten Aufbewahrungsfristen weiterbestehen.</w:t>
      </w:r>
    </w:p>
    <w:p>
      <w:r>
        <w:rPr>
          <w:b w:val="0"/>
          <w:i w:val="0"/>
        </w:rPr>
        <w:t>Apple und Google verarbeiten beim Download und bei Updates eigene Daten nach ihren Datenschutzbestimmungen; darauf haben wir keinen Einfluss.</w:t>
      </w:r>
    </w:p>
    <w:p>
      <w:r>
        <w:rPr>
          <w:b/>
          <w:i w:val="0"/>
        </w:rPr>
        <w:t>Standort:</w:t>
      </w:r>
      <w:r>
        <w:rPr>
          <w:b w:val="0"/>
          <w:i w:val="0"/>
        </w:rPr>
        <w:t xml:space="preserve"> Die App greift nicht auf Ihren Standort zu. </w:t>
      </w:r>
      <w:r>
        <w:rPr>
          <w:b/>
          <w:i w:val="0"/>
        </w:rPr>
        <w:t>Fotomarkierungen:</w:t>
      </w:r>
      <w:r>
        <w:rPr>
          <w:b w:val="0"/>
          <w:i w:val="0"/>
        </w:rPr>
        <w:t xml:space="preserve"> Durch Zeichnungen bearbeitete Kopien von Fotos werden beim jeweiligen Auftrag gespeichert. </w:t>
      </w:r>
      <w:r>
        <w:rPr>
          <w:b/>
          <w:i w:val="0"/>
        </w:rPr>
        <w:t>Lokale Entwürfe:</w:t>
      </w:r>
      <w:r>
        <w:rPr>
          <w:b w:val="0"/>
          <w:i w:val="0"/>
        </w:rPr>
        <w:t xml:space="preserve"> Angefangene Eingaben werden als Entwürfe lokal im Browser gespeichert. </w:t>
      </w:r>
      <w:r>
        <w:rPr>
          <w:b/>
          <w:i w:val="0"/>
        </w:rPr>
        <w:t>Export:</w:t>
      </w:r>
      <w:r>
        <w:rPr>
          <w:b w:val="0"/>
          <w:i w:val="0"/>
        </w:rPr>
        <w:t xml:space="preserve"> Kundenbetriebe können ihre Unternehmensdaten exportieren. </w:t>
      </w:r>
      <w:r>
        <w:rPr>
          <w:b/>
          <w:i w:val="0"/>
        </w:rPr>
        <w:t>Mitarbeitereinstufungen:</w:t>
      </w:r>
      <w:r>
        <w:rPr>
          <w:b w:val="0"/>
          <w:i w:val="0"/>
        </w:rPr>
        <w:t xml:space="preserve"> Dienstgrade und Bewertungen sind nur für Inhaber und Führungskräfte des jeweiligen Kundenbetriebs sichtbar (Abschnitt 3). </w:t>
      </w:r>
      <w:r>
        <w:rPr>
          <w:b/>
          <w:i w:val="0"/>
        </w:rPr>
        <w:t>Telefonie und SMS:</w:t>
      </w:r>
      <w:r>
        <w:rPr>
          <w:b w:val="0"/>
          <w:i w:val="0"/>
        </w:rPr>
        <w:t xml:space="preserve"> Twilio (Irland, US-Unternehmen) wird erst nach Aktivierung eingesetzt; dabei werden Telefonnummern, Anrufzeiten und SMS-Inhalte verarbeitet, ggf. auch in den USA auf Grundlage von DPA und EU-Standardvertragsklauseln.</w:t>
      </w:r>
    </w:p>
    <w:p>
      <w:r>
        <w:rPr>
          <w:b/>
          <w:i w:val="0"/>
        </w:rPr>
        <w:t xml:space="preserve">Lokale Entwürfe in der App: </w:t>
      </w:r>
      <w:r>
        <w:rPr>
          <w:b w:val="0"/>
          <w:i w:val="0"/>
        </w:rPr>
        <w:t>Unvollständige Eingaben werden lokal im Speicher des Browsers gespeichert, damit sie bei unterbrochener Arbeit fortgesetzt werden können. Die Entwürfe dienen ausschließlich der Fortsetzung der Eingabe; nach dem Speichern beziehungsweise spätestens nach 30 Tagen werden sie entfernt. Je nach Anmeldestatus können sie beim Abmelden entfernt werden.</w:t>
      </w:r>
    </w:p>
    <w:p>
      <w:r>
        <w:rPr>
          <w:b/>
          <w:i w:val="0"/>
        </w:rPr>
        <w:t xml:space="preserve">Fotoanmerkungen und Datenexport: </w:t>
      </w:r>
      <w:r>
        <w:rPr>
          <w:b w:val="0"/>
          <w:i w:val="0"/>
        </w:rPr>
        <w:t>Wenn Bilder in Necesso markiert oder mit Zeichnungen ergänzt werden, wird die bearbeitete Kopie mit dem Auftrag gespeichert. Berechtigte Unternehmen können ihre Geschäftsdaten aus der Plattform exportieren.</w:t>
      </w:r>
    </w:p>
    <w:p>
      <w:r>
        <w:rPr>
          <w:b w:val="0"/>
          <w:i w:val="0"/>
        </w:rPr>
        <w:t xml:space="preserve">Weitere Angaben zur </w:t>
      </w:r>
      <w:r>
        <w:rPr>
          <w:b w:val="0"/>
          <w:i w:val="0"/>
        </w:rPr>
        <w:t>Kontolöschung</w:t>
      </w:r>
      <w:r>
        <w:rPr>
          <w:b w:val="0"/>
          <w:i w:val="0"/>
        </w:rPr>
        <w:t xml:space="preserve"> und </w:t>
      </w:r>
      <w:r>
        <w:rPr>
          <w:b w:val="0"/>
          <w:i w:val="0"/>
        </w:rPr>
        <w:t>lokalen Speicherung und Sicherheit</w:t>
      </w:r>
      <w:r>
        <w:rPr>
          <w:b w:val="0"/>
          <w:i w:val="0"/>
        </w:rPr>
        <w:t xml:space="preserve"> finden Sie in den ergänzenden Abschnitten.</w:t>
      </w:r>
    </w:p>
    <w:p>
      <w:pPr>
        <w:pStyle w:val="Heading1"/>
      </w:pPr>
      <w:r>
        <w:rPr>
          <w:b w:val="0"/>
          <w:i w:val="0"/>
        </w:rPr>
        <w:t>25. Empfänger personenbezogener Daten</w:t>
      </w:r>
    </w:p>
    <w:tbl>
      <w:tblPr>
        <w:tblStyle w:val="LightShading-Accent1"/>
        <w:tblW w:type="auto" w:w="0"/>
        <w:jc w:val="center"/>
        <w:tblLook w:firstColumn="1" w:firstRow="1" w:lastColumn="0" w:lastRow="0" w:noHBand="0" w:noVBand="1" w:val="04A0"/>
      </w:tblPr>
      <w:tblGrid>
        <w:gridCol w:w="2469"/>
        <w:gridCol w:w="2469"/>
        <w:gridCol w:w="2469"/>
        <w:gridCol w:w="2469"/>
      </w:tblGrid>
      <w:tr>
        <w:trPr>
          <w:tblHeader w:val="true"/>
        </w:trPr>
        <w:tc>
          <w:tcPr>
            <w:tcW w:type="dxa" w:w="2469"/>
            <w:vAlign w:val="center"/>
          </w:tcPr>
          <w:p>
            <w:r>
              <w:rPr>
                <w:b/>
                <w:i w:val="0"/>
                <w:sz w:val="16"/>
              </w:rPr>
              <w:t>Anbieter</w:t>
            </w:r>
          </w:p>
        </w:tc>
        <w:tc>
          <w:tcPr>
            <w:tcW w:type="dxa" w:w="2469"/>
            <w:vAlign w:val="center"/>
          </w:tcPr>
          <w:p>
            <w:r>
              <w:rPr>
                <w:b/>
                <w:i w:val="0"/>
                <w:sz w:val="16"/>
              </w:rPr>
              <w:t>Wofür</w:t>
            </w:r>
          </w:p>
        </w:tc>
        <w:tc>
          <w:tcPr>
            <w:tcW w:type="dxa" w:w="2469"/>
            <w:vAlign w:val="center"/>
          </w:tcPr>
          <w:p>
            <w:r>
              <w:rPr>
                <w:b/>
                <w:i w:val="0"/>
                <w:sz w:val="16"/>
              </w:rPr>
              <w:t>Wo</w:t>
            </w:r>
          </w:p>
        </w:tc>
        <w:tc>
          <w:tcPr>
            <w:tcW w:type="dxa" w:w="2469"/>
            <w:vAlign w:val="center"/>
          </w:tcPr>
          <w:p>
            <w:r>
              <w:rPr>
                <w:b/>
                <w:i w:val="0"/>
                <w:sz w:val="16"/>
              </w:rPr>
              <w:t>Welche Daten</w:t>
            </w:r>
          </w:p>
        </w:tc>
      </w:tr>
      <w:tr>
        <w:tc>
          <w:tcPr>
            <w:tcW w:type="dxa" w:w="2469"/>
            <w:vAlign w:val="center"/>
          </w:tcPr>
          <w:p>
            <w:r>
              <w:rPr>
                <w:b w:val="0"/>
                <w:i w:val="0"/>
                <w:sz w:val="16"/>
              </w:rPr>
              <w:t>Hetzner Online GmbH</w:t>
            </w:r>
          </w:p>
        </w:tc>
        <w:tc>
          <w:tcPr>
            <w:tcW w:type="dxa" w:w="2469"/>
            <w:vAlign w:val="center"/>
          </w:tcPr>
          <w:p>
            <w:r>
              <w:rPr>
                <w:b w:val="0"/>
                <w:i w:val="0"/>
                <w:sz w:val="16"/>
              </w:rPr>
              <w:t>Server und Datensicherung</w:t>
            </w:r>
          </w:p>
        </w:tc>
        <w:tc>
          <w:tcPr>
            <w:tcW w:type="dxa" w:w="2469"/>
            <w:vAlign w:val="center"/>
          </w:tcPr>
          <w:p>
            <w:r>
              <w:rPr>
                <w:b w:val="0"/>
                <w:i w:val="0"/>
                <w:sz w:val="16"/>
              </w:rPr>
              <w:t>Deutschland (Falkenstein) für Betriebe mit Sitz in der EU; für Betriebe mit Sitz in den USA ein eigener Server in den USA, vor ihrer Aufnahme eingerichtet</w:t>
            </w:r>
          </w:p>
        </w:tc>
        <w:tc>
          <w:tcPr>
            <w:tcW w:type="dxa" w:w="2469"/>
            <w:vAlign w:val="center"/>
          </w:tcPr>
          <w:p>
            <w:r>
              <w:rPr>
                <w:b w:val="0"/>
                <w:i w:val="0"/>
                <w:sz w:val="16"/>
              </w:rPr>
              <w:t>alle gespeicherten Daten</w:t>
            </w:r>
          </w:p>
        </w:tc>
      </w:tr>
      <w:tr>
        <w:tc>
          <w:tcPr>
            <w:tcW w:type="dxa" w:w="2469"/>
            <w:vAlign w:val="center"/>
          </w:tcPr>
          <w:p>
            <w:r>
              <w:rPr>
                <w:b w:val="0"/>
                <w:i w:val="0"/>
                <w:sz w:val="16"/>
              </w:rPr>
              <w:t>Scaleway SAS</w:t>
            </w:r>
          </w:p>
        </w:tc>
        <w:tc>
          <w:tcPr>
            <w:tcW w:type="dxa" w:w="2469"/>
            <w:vAlign w:val="center"/>
          </w:tcPr>
          <w:p>
            <w:r>
              <w:rPr>
                <w:b w:val="0"/>
                <w:i w:val="0"/>
                <w:sz w:val="16"/>
              </w:rPr>
              <w:t>Versand von E-Mails; zweite Kopie der Datensicherung</w:t>
            </w:r>
          </w:p>
        </w:tc>
        <w:tc>
          <w:tcPr>
            <w:tcW w:type="dxa" w:w="2469"/>
            <w:vAlign w:val="center"/>
          </w:tcPr>
          <w:p>
            <w:r>
              <w:rPr>
                <w:b w:val="0"/>
                <w:i w:val="0"/>
                <w:sz w:val="16"/>
              </w:rPr>
              <w:t>Frankreich (</w:t>
            </w:r>
            <w:r>
              <w:rPr>
                <w:b w:val="0"/>
                <w:i w:val="0"/>
                <w:sz w:val="16"/>
              </w:rPr>
              <w:t>fr-par</w:t>
            </w:r>
            <w:r>
              <w:rPr>
                <w:b w:val="0"/>
                <w:i w:val="0"/>
                <w:sz w:val="16"/>
              </w:rPr>
              <w:t>, Paris)</w:t>
            </w:r>
          </w:p>
        </w:tc>
        <w:tc>
          <w:tcPr>
            <w:tcW w:type="dxa" w:w="2469"/>
            <w:vAlign w:val="center"/>
          </w:tcPr>
          <w:p>
            <w:r>
              <w:rPr>
                <w:b w:val="0"/>
                <w:i w:val="0"/>
                <w:sz w:val="16"/>
              </w:rPr>
              <w:t>jede E-Mail, die Necesso sendet: Dokumente als PDF, Einladungen, Passwort-Zurücksetzungen, Anmeldecodes; die zweite Sicherungskopie: alle gespeicherten Daten, von Necesso vor Versand mit AES-256 verschlüsselt, gegen Veränderung gesperrt, ohne zeitliche Begrenzung</w:t>
            </w:r>
          </w:p>
        </w:tc>
      </w:tr>
      <w:tr>
        <w:tc>
          <w:tcPr>
            <w:tcW w:type="dxa" w:w="2469"/>
            <w:vAlign w:val="center"/>
          </w:tcPr>
          <w:p>
            <w:r>
              <w:rPr>
                <w:b w:val="0"/>
                <w:i w:val="0"/>
                <w:sz w:val="16"/>
              </w:rPr>
              <w:t>Mistral AI SAS</w:t>
            </w:r>
          </w:p>
        </w:tc>
        <w:tc>
          <w:tcPr>
            <w:tcW w:type="dxa" w:w="2469"/>
            <w:vAlign w:val="center"/>
          </w:tcPr>
          <w:p>
            <w:r>
              <w:rPr>
                <w:b w:val="0"/>
                <w:i w:val="0"/>
                <w:sz w:val="16"/>
              </w:rPr>
              <w:t>Assistent, Kassenbons, KI-Suche im Katalog, gesprochene Eingaben (Aufnahme mit Voxtral in Text umwandeln, den Text verstehen), Markieren für das Privacy-Gateway</w:t>
            </w:r>
          </w:p>
        </w:tc>
        <w:tc>
          <w:tcPr>
            <w:tcW w:type="dxa" w:w="2469"/>
            <w:vAlign w:val="center"/>
          </w:tcPr>
          <w:p>
            <w:r>
              <w:rPr>
                <w:b w:val="0"/>
                <w:i w:val="0"/>
                <w:sz w:val="16"/>
              </w:rPr>
              <w:t>EU-Endpunkt (Verarbeitung in der EU)</w:t>
            </w:r>
          </w:p>
        </w:tc>
        <w:tc>
          <w:tcPr>
            <w:tcW w:type="dxa" w:w="2469"/>
            <w:vAlign w:val="center"/>
          </w:tcPr>
          <w:p>
            <w:r>
              <w:rPr>
                <w:b w:val="0"/>
                <w:i w:val="0"/>
                <w:sz w:val="16"/>
              </w:rPr>
              <w:t>siehe „Hilfen mit künstlicher Intelligenz"</w:t>
            </w:r>
          </w:p>
        </w:tc>
      </w:tr>
      <w:tr>
        <w:tc>
          <w:tcPr>
            <w:tcW w:type="dxa" w:w="2469"/>
            <w:vAlign w:val="center"/>
          </w:tcPr>
          <w:p>
            <w:r>
              <w:rPr>
                <w:b w:val="0"/>
                <w:i w:val="0"/>
                <w:sz w:val="16"/>
              </w:rPr>
              <w:t>Anthropic PBC</w:t>
            </w:r>
          </w:p>
        </w:tc>
        <w:tc>
          <w:tcPr>
            <w:tcW w:type="dxa" w:w="2469"/>
            <w:vAlign w:val="center"/>
          </w:tcPr>
          <w:p>
            <w:r>
              <w:rPr>
                <w:b w:val="0"/>
                <w:i w:val="0"/>
                <w:sz w:val="16"/>
              </w:rPr>
              <w:t>übrige KI-Schritte (E-Mails, Schadensberichte, Angebots- und Mahnungsentwürfe, Einsatzvorschläge, Berichte)</w:t>
            </w:r>
          </w:p>
        </w:tc>
        <w:tc>
          <w:tcPr>
            <w:tcW w:type="dxa" w:w="2469"/>
            <w:vAlign w:val="center"/>
          </w:tcPr>
          <w:p>
            <w:r>
              <w:rPr>
                <w:b w:val="0"/>
                <w:i w:val="0"/>
                <w:sz w:val="16"/>
              </w:rPr>
              <w:t>USA</w:t>
            </w:r>
          </w:p>
        </w:tc>
        <w:tc>
          <w:tcPr>
            <w:tcW w:type="dxa" w:w="2469"/>
            <w:vAlign w:val="center"/>
          </w:tcPr>
          <w:p>
            <w:r>
              <w:rPr>
                <w:b w:val="0"/>
                <w:i w:val="0"/>
                <w:sz w:val="16"/>
              </w:rPr>
              <w:t>für Betriebe in der EU pseudonymisiert; bei gescheiterter oder erkennbar unvollständiger Prüfung erfolgt keine Übermittlung; unerkannt gebliebene personenbezogene Angaben können dennoch übermittelt werden (siehe oben)</w:t>
            </w:r>
          </w:p>
        </w:tc>
      </w:tr>
      <w:tr>
        <w:tc>
          <w:tcPr>
            <w:tcW w:type="dxa" w:w="2469"/>
            <w:vAlign w:val="center"/>
          </w:tcPr>
          <w:p>
            <w:r>
              <w:rPr>
                <w:b w:val="0"/>
                <w:i w:val="0"/>
                <w:sz w:val="16"/>
              </w:rPr>
              <w:t>Migadu</w:t>
            </w:r>
          </w:p>
        </w:tc>
        <w:tc>
          <w:tcPr>
            <w:tcW w:type="dxa" w:w="2469"/>
            <w:vAlign w:val="center"/>
          </w:tcPr>
          <w:p>
            <w:r>
              <w:rPr>
                <w:b w:val="0"/>
                <w:i w:val="0"/>
                <w:sz w:val="16"/>
              </w:rPr>
              <w:t>Postfach für E-Mails an die Necesso-Adresse eines Betriebs</w:t>
            </w:r>
          </w:p>
        </w:tc>
        <w:tc>
          <w:tcPr>
            <w:tcW w:type="dxa" w:w="2469"/>
            <w:vAlign w:val="center"/>
          </w:tcPr>
          <w:p>
            <w:r>
              <w:rPr>
                <w:b w:val="0"/>
                <w:i w:val="0"/>
                <w:sz w:val="16"/>
              </w:rPr>
              <w:t>Postfächer im EWR / in der Schweiz; Infrastruktur bei OVHcloud (Frankreich, Niederlande)</w:t>
            </w:r>
          </w:p>
        </w:tc>
        <w:tc>
          <w:tcPr>
            <w:tcW w:type="dxa" w:w="2469"/>
            <w:vAlign w:val="center"/>
          </w:tcPr>
          <w:p>
            <w:r>
              <w:rPr>
                <w:b w:val="0"/>
                <w:i w:val="0"/>
                <w:sz w:val="16"/>
              </w:rPr>
              <w:t>eingehende E-Mails mit Anhängen</w:t>
            </w:r>
          </w:p>
        </w:tc>
      </w:tr>
      <w:tr>
        <w:tc>
          <w:tcPr>
            <w:tcW w:type="dxa" w:w="2469"/>
            <w:vAlign w:val="center"/>
          </w:tcPr>
          <w:p>
            <w:r>
              <w:rPr>
                <w:b w:val="0"/>
                <w:i w:val="0"/>
                <w:sz w:val="16"/>
              </w:rPr>
              <w:t>OpenRouteService (HeiGIT gGmbH)</w:t>
            </w:r>
          </w:p>
        </w:tc>
        <w:tc>
          <w:tcPr>
            <w:tcW w:type="dxa" w:w="2469"/>
            <w:vAlign w:val="center"/>
          </w:tcPr>
          <w:p>
            <w:r>
              <w:rPr>
                <w:b w:val="0"/>
                <w:i w:val="0"/>
                <w:sz w:val="16"/>
              </w:rPr>
              <w:t>Routenplanung, nur wenn eingeschaltet</w:t>
            </w:r>
          </w:p>
        </w:tc>
        <w:tc>
          <w:tcPr>
            <w:tcW w:type="dxa" w:w="2469"/>
            <w:vAlign w:val="center"/>
          </w:tcPr>
          <w:p>
            <w:r>
              <w:rPr>
                <w:b w:val="0"/>
                <w:i w:val="0"/>
                <w:sz w:val="16"/>
              </w:rPr>
              <w:t>Deutschland (Heidelberg)</w:t>
            </w:r>
          </w:p>
        </w:tc>
        <w:tc>
          <w:tcPr>
            <w:tcW w:type="dxa" w:w="2469"/>
            <w:vAlign w:val="center"/>
          </w:tcPr>
          <w:p>
            <w:r>
              <w:rPr>
                <w:b w:val="0"/>
                <w:i w:val="0"/>
                <w:sz w:val="16"/>
              </w:rPr>
              <w:t>Adressen und Koordinaten, keine Namen</w:t>
            </w:r>
          </w:p>
        </w:tc>
      </w:tr>
      <w:tr>
        <w:tc>
          <w:tcPr>
            <w:tcW w:type="dxa" w:w="2469"/>
            <w:vAlign w:val="center"/>
          </w:tcPr>
          <w:p>
            <w:r>
              <w:rPr>
                <w:b w:val="0"/>
                <w:i w:val="0"/>
                <w:sz w:val="16"/>
              </w:rPr>
              <w:t>Enable Banking Oy</w:t>
            </w:r>
          </w:p>
        </w:tc>
        <w:tc>
          <w:tcPr>
            <w:tcW w:type="dxa" w:w="2469"/>
            <w:vAlign w:val="center"/>
          </w:tcPr>
          <w:p>
            <w:r>
              <w:rPr>
                <w:b w:val="0"/>
                <w:i w:val="0"/>
                <w:sz w:val="16"/>
              </w:rPr>
              <w:t>Bankverbindung, ab Aktivierung, wenn der Betrieb sein Konto verbindet</w:t>
            </w:r>
          </w:p>
        </w:tc>
        <w:tc>
          <w:tcPr>
            <w:tcW w:type="dxa" w:w="2469"/>
            <w:vAlign w:val="center"/>
          </w:tcPr>
          <w:p>
            <w:r>
              <w:rPr>
                <w:b w:val="0"/>
                <w:i w:val="0"/>
                <w:sz w:val="16"/>
              </w:rPr>
              <w:t>Finnland (Espoo)</w:t>
            </w:r>
          </w:p>
        </w:tc>
        <w:tc>
          <w:tcPr>
            <w:tcW w:type="dxa" w:w="2469"/>
            <w:vAlign w:val="center"/>
          </w:tcPr>
          <w:p>
            <w:r>
              <w:rPr>
                <w:b w:val="0"/>
                <w:i w:val="0"/>
                <w:sz w:val="16"/>
              </w:rPr>
              <w:t>Kontoumsätze (nur lesend): Betrag, Datum, Verwendungszweck, Name und IBAN der Zahlenden</w:t>
            </w:r>
          </w:p>
        </w:tc>
      </w:tr>
      <w:tr>
        <w:tc>
          <w:tcPr>
            <w:tcW w:type="dxa" w:w="2469"/>
            <w:vAlign w:val="center"/>
          </w:tcPr>
          <w:p>
            <w:r>
              <w:rPr>
                <w:b w:val="0"/>
                <w:i w:val="0"/>
                <w:sz w:val="16"/>
              </w:rPr>
              <w:t>Stripe Payments Europe Ltd.</w:t>
            </w:r>
          </w:p>
        </w:tc>
        <w:tc>
          <w:tcPr>
            <w:tcW w:type="dxa" w:w="2469"/>
            <w:vAlign w:val="center"/>
          </w:tcPr>
          <w:p>
            <w:r>
              <w:rPr>
                <w:b w:val="0"/>
                <w:i w:val="0"/>
                <w:sz w:val="16"/>
              </w:rPr>
              <w:t>Online-Zahlungen, ab Aktivierung, wenn der Betrieb sie einschaltet (gehostete Zahlungsseite)</w:t>
            </w:r>
          </w:p>
        </w:tc>
        <w:tc>
          <w:tcPr>
            <w:tcW w:type="dxa" w:w="2469"/>
            <w:vAlign w:val="center"/>
          </w:tcPr>
          <w:p>
            <w:r>
              <w:rPr>
                <w:b w:val="0"/>
                <w:i w:val="0"/>
                <w:sz w:val="16"/>
              </w:rPr>
              <w:t>Irland</w:t>
            </w:r>
          </w:p>
        </w:tc>
        <w:tc>
          <w:tcPr>
            <w:tcW w:type="dxa" w:w="2469"/>
            <w:vAlign w:val="center"/>
          </w:tcPr>
          <w:p>
            <w:r>
              <w:rPr>
                <w:b w:val="0"/>
                <w:i w:val="0"/>
                <w:sz w:val="16"/>
              </w:rPr>
              <w:t>Zahlungsstatus, Beträge, Gebühren, Auszahlungen — keine Kartendaten bei Necesso</w:t>
            </w:r>
          </w:p>
        </w:tc>
      </w:tr>
      <w:tr>
        <w:tc>
          <w:tcPr>
            <w:tcW w:type="dxa" w:w="2469"/>
            <w:vAlign w:val="center"/>
          </w:tcPr>
          <w:p>
            <w:r>
              <w:rPr>
                <w:b w:val="0"/>
                <w:i w:val="0"/>
                <w:sz w:val="16"/>
              </w:rPr>
              <w:t>Adyen N.V.</w:t>
            </w:r>
          </w:p>
        </w:tc>
        <w:tc>
          <w:tcPr>
            <w:tcW w:type="dxa" w:w="2469"/>
            <w:vAlign w:val="center"/>
          </w:tcPr>
          <w:p>
            <w:r>
              <w:rPr>
                <w:b w:val="0"/>
                <w:i w:val="0"/>
                <w:sz w:val="16"/>
              </w:rPr>
              <w:t>Online-Zahlungen, ab Aktivierung, wenn der Betrieb sie einschaltet (gehostete Zahlungsseite)</w:t>
            </w:r>
          </w:p>
        </w:tc>
        <w:tc>
          <w:tcPr>
            <w:tcW w:type="dxa" w:w="2469"/>
            <w:vAlign w:val="center"/>
          </w:tcPr>
          <w:p>
            <w:r>
              <w:rPr>
                <w:b w:val="0"/>
                <w:i w:val="0"/>
                <w:sz w:val="16"/>
              </w:rPr>
              <w:t>Niederlande</w:t>
            </w:r>
          </w:p>
        </w:tc>
        <w:tc>
          <w:tcPr>
            <w:tcW w:type="dxa" w:w="2469"/>
            <w:vAlign w:val="center"/>
          </w:tcPr>
          <w:p>
            <w:r>
              <w:rPr>
                <w:b w:val="0"/>
                <w:i w:val="0"/>
                <w:sz w:val="16"/>
              </w:rPr>
              <w:t>Zahlungsstatus, Beträge, Gebühren, Auszahlungen — keine Kartendaten bei Necesso</w:t>
            </w:r>
          </w:p>
        </w:tc>
      </w:tr>
      <w:tr>
        <w:tc>
          <w:tcPr>
            <w:tcW w:type="dxa" w:w="2469"/>
            <w:vAlign w:val="center"/>
          </w:tcPr>
          <w:p>
            <w:r>
              <w:rPr>
                <w:b w:val="0"/>
                <w:i w:val="0"/>
                <w:sz w:val="16"/>
              </w:rPr>
              <w:t>Meta Platforms Ireland Ltd</w:t>
            </w:r>
          </w:p>
        </w:tc>
        <w:tc>
          <w:tcPr>
            <w:tcW w:type="dxa" w:w="2469"/>
            <w:vAlign w:val="center"/>
          </w:tcPr>
          <w:p>
            <w:r>
              <w:rPr>
                <w:b w:val="0"/>
                <w:i w:val="0"/>
                <w:sz w:val="16"/>
              </w:rPr>
              <w:t>WhatsApp, ab Aktivierung, wenn der Betrieb seine Nummer verbindet</w:t>
            </w:r>
          </w:p>
        </w:tc>
        <w:tc>
          <w:tcPr>
            <w:tcW w:type="dxa" w:w="2469"/>
            <w:vAlign w:val="center"/>
          </w:tcPr>
          <w:p>
            <w:r>
              <w:rPr>
                <w:b w:val="0"/>
                <w:i w:val="0"/>
                <w:sz w:val="16"/>
              </w:rPr>
              <w:t>Irland</w:t>
            </w:r>
          </w:p>
        </w:tc>
        <w:tc>
          <w:tcPr>
            <w:tcW w:type="dxa" w:w="2469"/>
            <w:vAlign w:val="center"/>
          </w:tcPr>
          <w:p>
            <w:r>
              <w:rPr>
                <w:b w:val="0"/>
                <w:i w:val="0"/>
                <w:sz w:val="16"/>
              </w:rPr>
              <w:t>Nachrichten, Telefonnummern, Namen, Medien</w:t>
            </w:r>
          </w:p>
        </w:tc>
      </w:tr>
      <w:tr>
        <w:tc>
          <w:tcPr>
            <w:tcW w:type="dxa" w:w="2469"/>
            <w:vAlign w:val="center"/>
          </w:tcPr>
          <w:p>
            <w:r>
              <w:rPr>
                <w:b w:val="0"/>
                <w:i w:val="0"/>
                <w:sz w:val="16"/>
              </w:rPr>
              <w:t>Twilio Ireland Ltd</w:t>
            </w:r>
          </w:p>
        </w:tc>
        <w:tc>
          <w:tcPr>
            <w:tcW w:type="dxa" w:w="2469"/>
            <w:vAlign w:val="center"/>
          </w:tcPr>
          <w:p>
            <w:r>
              <w:rPr>
                <w:b w:val="0"/>
                <w:i w:val="0"/>
                <w:sz w:val="16"/>
              </w:rPr>
              <w:t>Anrufe und SMS, ab Aktivierung, wenn der Betrieb eine Nummer einschaltet</w:t>
            </w:r>
          </w:p>
        </w:tc>
        <w:tc>
          <w:tcPr>
            <w:tcW w:type="dxa" w:w="2469"/>
            <w:vAlign w:val="center"/>
          </w:tcPr>
          <w:p>
            <w:r>
              <w:rPr>
                <w:b w:val="0"/>
                <w:i w:val="0"/>
                <w:sz w:val="16"/>
              </w:rPr>
              <w:t>Irland (IE1)</w:t>
            </w:r>
          </w:p>
        </w:tc>
        <w:tc>
          <w:tcPr>
            <w:tcW w:type="dxa" w:w="2469"/>
            <w:vAlign w:val="center"/>
          </w:tcPr>
          <w:p>
            <w:r>
              <w:rPr>
                <w:b w:val="0"/>
                <w:i w:val="0"/>
                <w:sz w:val="16"/>
              </w:rPr>
              <w:t>Telefonnummern, Aufzeichnungen (dort sofort gelöscht), SMS</w:t>
            </w:r>
          </w:p>
        </w:tc>
      </w:tr>
    </w:tbl>
    <w:p/>
    <w:p>
      <w:r>
        <w:rPr>
          <w:b w:val="0"/>
          <w:i w:val="0"/>
        </w:rPr>
        <w:t>Keine Auftragsverarbeiter: GitHub, GoDaddy und Microsoft 365 erhalten keine</w:t>
        <w:br/>
        <w:t>Daten der Betriebe. DATEV, BMD, Lexware Office und die Großhändler (Open</w:t>
        <w:br/>
        <w:t>Masterdata, IDS Connect) sind Empfänger, die der Betrieb selbst wählt, keine</w:t>
        <w:br/>
        <w:t>Auftragsverarbeiter von Necesso. Schriftarten werden von unseren eigenen Servern geladen</w:t>
        <w:br/>
        <w:t>(kein Google Fonts). Necesso verwendet keine Analyse-, Absturz- oder</w:t>
        <w:br/>
        <w:t>Werbe-Software von Dritten; die eigene Suchauswertung ist oben beschrieben.</w:t>
      </w:r>
    </w:p>
    <w:p>
      <w:r>
        <w:rPr>
          <w:b/>
          <w:i w:val="0"/>
        </w:rPr>
        <w:t>Website und Domain:</w:t>
      </w:r>
      <w:r>
        <w:rPr>
          <w:b w:val="0"/>
          <w:i w:val="0"/>
        </w:rPr>
        <w:t xml:space="preserve"> Die Marketing-Website wird bei Netlify, Inc. (USA/global) ausgeliefert. Netlify Web Analytics erstellt serverseitige Reichweitenstatistiken anhand von CDN-Protokollen, ohne Analyse-Cookie im Browser. GoDaddy verwaltet nur die Domain. Für die optionalen Google Fonts auf der Marketing-Website wird nach Einwilligung eine Verbindung zu Google Ireland Ltd. hergestellt; ohne Zustimmung werden Systemschriften genutzt. Diese Website-Dienste sind von den Auftragsverarbeitern der Necesso-Kundenplattform zu unterscheiden.</w:t>
      </w:r>
    </w:p>
    <w:p>
      <w:r>
        <w:rPr>
          <w:b w:val="0"/>
          <w:i w:val="0"/>
        </w:rPr>
        <w:t>Technischer Stand vom 29. Oktober 2026: Sicherungskopien werden vor der Übertragung durch Necesso mit AES-256 verschlüsselt und gegen Veränderungen geschützt. Bei Anthropic können trotz Pseudonymisierung unerkannt gebliebene Angaben personenbezogen sein; nur wenn eine Prüfung ausdrücklich fehlschlägt oder als unvollständig erkannt wird, unterbleibt die Übermittlung. Für Drittlandübermittlungen gelten die jeweils einschlägigen Vertragsvereinbarungen und Schutzmechanismen nach Art. 44 ff. DSGVO.</w:t>
      </w:r>
    </w:p>
    <w:p>
      <w:pPr>
        <w:pStyle w:val="Heading1"/>
      </w:pPr>
      <w:r>
        <w:rPr>
          <w:b w:val="0"/>
          <w:i w:val="0"/>
        </w:rPr>
        <w:t>26. Cookies und lokale Speicherung</w:t>
      </w:r>
    </w:p>
    <w:p>
      <w:r>
        <w:rPr>
          <w:b/>
          <w:i w:val="0"/>
        </w:rPr>
        <w:t>Lokale Entwürfe in der Necesso-Webanwendung:</w:t>
      </w:r>
      <w:r>
        <w:rPr>
          <w:b w:val="0"/>
          <w:i w:val="0"/>
        </w:rPr>
        <w:t xml:space="preserve"> Begonnene Eingaben werden zur Fortsetzung der Arbeit im lokalen Browserspeicher als Entwürfe gespeichert. Dies ist von der unten beschriebenen Cookie-Auswahl der Marketing-Website getrennt.</w:t>
      </w:r>
    </w:p>
    <w:p>
      <w:r>
        <w:rPr>
          <w:b w:val="0"/>
          <w:i w:val="0"/>
        </w:rPr>
        <w:t>Cookies sind kleine Dateien, die eine Website in Ihrem Browser speichert. Optionale Browser-Funktionen sind beim ersten Besuch ausgeschaltet. Wir setzen keine Analyse-Cookies und keine Werbetracker ein. Für die Website-Statistik nutzen wir Netlify Web Analytics serverseitig, wie nachfolgend beschrieben.</w:t>
      </w:r>
    </w:p>
    <w:p>
      <w:r>
        <w:rPr>
          <w:b/>
          <w:i w:val="0"/>
        </w:rPr>
        <w:t>Netlify Web Analytics:</w:t>
      </w:r>
      <w:r>
        <w:rPr>
          <w:b w:val="0"/>
          <w:i w:val="0"/>
        </w:rPr>
        <w:t xml:space="preserve"> Wir werten die Nutzung unserer Website anhand der serverseitigen CDN-Zugriffsprotokolle bei Netlify aus. Es wird dafür kein Analyse-Skript im Browser eingebunden und kein Analyse-Cookie gesetzt.</w:t>
      </w:r>
    </w:p>
    <w:p>
      <w:r>
        <w:rPr>
          <w:b/>
          <w:i w:val="0"/>
        </w:rPr>
        <w:t>Auswertungen:</w:t>
      </w:r>
      <w:r>
        <w:rPr>
          <w:b w:val="0"/>
          <w:i w:val="0"/>
        </w:rPr>
        <w:t xml:space="preserve"> Dazu gehören Seitenaufrufe, Besucherzahlen, Herkunftsregionen, aufgerufene Seiten, verweisende URLs und nicht gefundene Ressourcen. Netlify verwendet unterschiedliche IP-Adressen zur Berechnung der Besucherzahlen. Die Dashboard-Ansichten umfassen nach der Netlify-Dokumentation bis zu 30 Tage; dies ist keine Zusicherung, dass sämtliche technischen oder sicherheitsrelevanten Logs nach 30 Tagen gelöscht werden. Für diese gelten Abschnitt 13 und die Aufbewahrungsregeln des jeweiligen Dienstes.</w:t>
      </w:r>
    </w:p>
    <w:p>
      <w:r>
        <w:rPr>
          <w:b/>
          <w:i w:val="0"/>
        </w:rPr>
        <w:t>Zweck und Rechtsgrundlage:</w:t>
      </w:r>
      <w:r>
        <w:rPr>
          <w:b w:val="0"/>
          <w:i w:val="0"/>
        </w:rPr>
        <w:t xml:space="preserve"> Statistische Bewertung, Verbesserung und stabiler Betrieb der Website auf Grundlage von Art. 6 Abs. 1 lit. f DSGVO. Sie können aus Gründen Ihrer besonderen Situation Widerspruch gegen diese Verarbeitung einlegen; Kontakt: office@necesso.ai. Netlify ist der Empfänger; für internationale Verarbeitung und die vertraglichen Schutzmaßnahmen gilt Abschnitt 13.</w:t>
      </w:r>
    </w:p>
    <w:p>
      <w:r>
        <w:rPr>
          <w:b/>
          <w:i w:val="0"/>
        </w:rPr>
        <w:t>Cookie-Auswahl:</w:t>
      </w:r>
      <w:r>
        <w:rPr>
          <w:b w:val="0"/>
          <w:i w:val="0"/>
        </w:rPr>
        <w:t xml:space="preserve"> Die Schaltflächen im Cookie-Banner steuern ausschließlich die optionalen Browser-Funktionen für Startanimation und externe Schriftarten. Sie schalten die serverseitige Netlify-Auswertung nicht ab. Es werden keine Werbeprofile erstellt und keine Kontaktdaten aus der Necesso-Plattform für diese Website-Statistik eingesetzt.</w:t>
      </w:r>
    </w:p>
    <w:tbl>
      <w:tblPr>
        <w:tblStyle w:val="LightShading-Accent1"/>
        <w:tblW w:type="auto" w:w="0"/>
        <w:jc w:val="center"/>
        <w:tblLook w:firstColumn="1" w:firstRow="1" w:lastColumn="0" w:lastRow="0" w:noHBand="0" w:noVBand="1" w:val="04A0"/>
      </w:tblPr>
      <w:tblGrid>
        <w:gridCol w:w="1976"/>
        <w:gridCol w:w="1976"/>
        <w:gridCol w:w="1976"/>
        <w:gridCol w:w="1976"/>
        <w:gridCol w:w="1976"/>
      </w:tblGrid>
      <w:tr>
        <w:trPr>
          <w:tblHeader w:val="true"/>
        </w:trPr>
        <w:tc>
          <w:tcPr>
            <w:tcW w:type="dxa" w:w="1976"/>
            <w:vAlign w:val="center"/>
          </w:tcPr>
          <w:p>
            <w:r>
              <w:rPr>
                <w:b/>
                <w:i w:val="0"/>
                <w:sz w:val="16"/>
              </w:rPr>
              <w:t>Name</w:t>
            </w:r>
          </w:p>
        </w:tc>
        <w:tc>
          <w:tcPr>
            <w:tcW w:type="dxa" w:w="1976"/>
            <w:vAlign w:val="center"/>
          </w:tcPr>
          <w:p>
            <w:r>
              <w:rPr>
                <w:b/>
                <w:i w:val="0"/>
                <w:sz w:val="16"/>
              </w:rPr>
              <w:t>Art</w:t>
            </w:r>
          </w:p>
        </w:tc>
        <w:tc>
          <w:tcPr>
            <w:tcW w:type="dxa" w:w="1976"/>
            <w:vAlign w:val="center"/>
          </w:tcPr>
          <w:p>
            <w:r>
              <w:rPr>
                <w:b/>
                <w:i w:val="0"/>
                <w:sz w:val="16"/>
              </w:rPr>
              <w:t>Zweck</w:t>
            </w:r>
          </w:p>
        </w:tc>
        <w:tc>
          <w:tcPr>
            <w:tcW w:type="dxa" w:w="1976"/>
            <w:vAlign w:val="center"/>
          </w:tcPr>
          <w:p>
            <w:r>
              <w:rPr>
                <w:b/>
                <w:i w:val="0"/>
                <w:sz w:val="16"/>
              </w:rPr>
              <w:t>Dauer</w:t>
            </w:r>
          </w:p>
        </w:tc>
        <w:tc>
          <w:tcPr>
            <w:tcW w:type="dxa" w:w="1976"/>
            <w:vAlign w:val="center"/>
          </w:tcPr>
          <w:p>
            <w:r>
              <w:rPr>
                <w:b/>
                <w:i w:val="0"/>
                <w:sz w:val="16"/>
              </w:rPr>
              <w:t>Rechtsgrundlage</w:t>
            </w:r>
          </w:p>
        </w:tc>
      </w:tr>
      <w:tr>
        <w:tc>
          <w:tcPr>
            <w:tcW w:type="dxa" w:w="1976"/>
            <w:vAlign w:val="center"/>
          </w:tcPr>
          <w:p>
            <w:r>
              <w:rPr>
                <w:b w:val="0"/>
                <w:i w:val="0"/>
                <w:sz w:val="16"/>
              </w:rPr>
              <w:t>necesso_privacy</w:t>
            </w:r>
          </w:p>
        </w:tc>
        <w:tc>
          <w:tcPr>
            <w:tcW w:type="dxa" w:w="1976"/>
            <w:vAlign w:val="center"/>
          </w:tcPr>
          <w:p>
            <w:r>
              <w:rPr>
                <w:b w:val="0"/>
                <w:i w:val="0"/>
                <w:sz w:val="16"/>
              </w:rPr>
              <w:t>Cookie, notwendig</w:t>
            </w:r>
          </w:p>
        </w:tc>
        <w:tc>
          <w:tcPr>
            <w:tcW w:type="dxa" w:w="1976"/>
            <w:vAlign w:val="center"/>
          </w:tcPr>
          <w:p>
            <w:r>
              <w:rPr>
                <w:b w:val="0"/>
                <w:i w:val="0"/>
                <w:sz w:val="16"/>
              </w:rPr>
              <w:t>Speichert Ihre Cookie-Auswahl (Version und Ja/Nein-Werte, keine Besucherkennung)</w:t>
            </w:r>
          </w:p>
        </w:tc>
        <w:tc>
          <w:tcPr>
            <w:tcW w:type="dxa" w:w="1976"/>
            <w:vAlign w:val="center"/>
          </w:tcPr>
          <w:p>
            <w:r>
              <w:rPr>
                <w:b w:val="0"/>
                <w:i w:val="0"/>
                <w:sz w:val="16"/>
              </w:rPr>
              <w:t>bis 180 Tage</w:t>
            </w:r>
          </w:p>
        </w:tc>
        <w:tc>
          <w:tcPr>
            <w:tcW w:type="dxa" w:w="1976"/>
            <w:vAlign w:val="center"/>
          </w:tcPr>
          <w:p>
            <w:r>
              <w:rPr>
                <w:b w:val="0"/>
                <w:i w:val="0"/>
                <w:sz w:val="16"/>
              </w:rPr>
              <w:t>§ 165 Abs. 3 TKG 2021; Art. 6 Abs. 1 lit. f DSGVO</w:t>
            </w:r>
          </w:p>
        </w:tc>
      </w:tr>
      <w:tr>
        <w:tc>
          <w:tcPr>
            <w:tcW w:type="dxa" w:w="1976"/>
            <w:vAlign w:val="center"/>
          </w:tcPr>
          <w:p>
            <w:r>
              <w:rPr>
                <w:b w:val="0"/>
                <w:i w:val="0"/>
                <w:sz w:val="16"/>
              </w:rPr>
              <w:t>necesso-arrival-v4</w:t>
            </w:r>
          </w:p>
        </w:tc>
        <w:tc>
          <w:tcPr>
            <w:tcW w:type="dxa" w:w="1976"/>
            <w:vAlign w:val="center"/>
          </w:tcPr>
          <w:p>
            <w:r>
              <w:rPr>
                <w:b w:val="0"/>
                <w:i w:val="0"/>
                <w:sz w:val="16"/>
              </w:rPr>
              <w:t>sessionStorage, optional</w:t>
            </w:r>
          </w:p>
        </w:tc>
        <w:tc>
          <w:tcPr>
            <w:tcW w:type="dxa" w:w="1976"/>
            <w:vAlign w:val="center"/>
          </w:tcPr>
          <w:p>
            <w:r>
              <w:rPr>
                <w:b w:val="0"/>
                <w:i w:val="0"/>
                <w:sz w:val="16"/>
              </w:rPr>
              <w:t>Merkt, dass die Startanimation gezeigt wurde (Wert „seen”)</w:t>
            </w:r>
          </w:p>
        </w:tc>
        <w:tc>
          <w:tcPr>
            <w:tcW w:type="dxa" w:w="1976"/>
            <w:vAlign w:val="center"/>
          </w:tcPr>
          <w:p>
            <w:r>
              <w:rPr>
                <w:b w:val="0"/>
                <w:i w:val="0"/>
                <w:sz w:val="16"/>
              </w:rPr>
              <w:t>Ende der Sitzung</w:t>
            </w:r>
          </w:p>
        </w:tc>
        <w:tc>
          <w:tcPr>
            <w:tcW w:type="dxa" w:w="1976"/>
            <w:vAlign w:val="center"/>
          </w:tcPr>
          <w:p>
            <w:r>
              <w:rPr>
                <w:b w:val="0"/>
                <w:i w:val="0"/>
                <w:sz w:val="16"/>
              </w:rPr>
              <w:t>Einwilligung, Art. 6 Abs. 1 lit. a DSGVO, § 165 Abs. 3 TKG 2021</w:t>
            </w:r>
          </w:p>
        </w:tc>
      </w:tr>
      <w:tr>
        <w:tc>
          <w:tcPr>
            <w:tcW w:type="dxa" w:w="1976"/>
            <w:vAlign w:val="center"/>
          </w:tcPr>
          <w:p>
            <w:r>
              <w:rPr>
                <w:b w:val="0"/>
                <w:i w:val="0"/>
                <w:sz w:val="16"/>
              </w:rPr>
              <w:t>Google Fonts</w:t>
            </w:r>
          </w:p>
        </w:tc>
        <w:tc>
          <w:tcPr>
            <w:tcW w:type="dxa" w:w="1976"/>
            <w:vAlign w:val="center"/>
          </w:tcPr>
          <w:p>
            <w:r>
              <w:rPr>
                <w:b w:val="0"/>
                <w:i w:val="0"/>
                <w:sz w:val="16"/>
              </w:rPr>
              <w:t>externe Anfrage, optional</w:t>
            </w:r>
          </w:p>
        </w:tc>
        <w:tc>
          <w:tcPr>
            <w:tcW w:type="dxa" w:w="1976"/>
            <w:vAlign w:val="center"/>
          </w:tcPr>
          <w:p>
            <w:r>
              <w:rPr>
                <w:b w:val="0"/>
                <w:i w:val="0"/>
                <w:sz w:val="16"/>
              </w:rPr>
              <w:t>Lädt die Schriften Manrope und Space Grotesk</w:t>
            </w:r>
          </w:p>
        </w:tc>
        <w:tc>
          <w:tcPr>
            <w:tcW w:type="dxa" w:w="1976"/>
            <w:vAlign w:val="center"/>
          </w:tcPr>
          <w:p>
            <w:r>
              <w:rPr>
                <w:b w:val="0"/>
                <w:i w:val="0"/>
                <w:sz w:val="16"/>
              </w:rPr>
              <w:t>Browser-Cache</w:t>
            </w:r>
          </w:p>
        </w:tc>
        <w:tc>
          <w:tcPr>
            <w:tcW w:type="dxa" w:w="1976"/>
            <w:vAlign w:val="center"/>
          </w:tcPr>
          <w:p>
            <w:r>
              <w:rPr>
                <w:b w:val="0"/>
                <w:i w:val="0"/>
                <w:sz w:val="16"/>
              </w:rPr>
              <w:t>Einwilligung, Art. 6 Abs. 1 lit. a DSGVO</w:t>
            </w:r>
          </w:p>
        </w:tc>
      </w:tr>
    </w:tbl>
    <w:p/>
    <w:p>
      <w:r>
        <w:rPr>
          <w:b/>
          <w:i w:val="0"/>
        </w:rPr>
        <w:t>Google Fonts:</w:t>
      </w:r>
      <w:r>
        <w:rPr>
          <w:b w:val="0"/>
          <w:i w:val="0"/>
        </w:rPr>
        <w:t xml:space="preserve"> Anbieter ist Google Ireland Limited, Gordon House, Barrow Street, Dublin 4, Irland; verbundenes Unternehmen Google LLC, USA. Google erhält Ihre IP-Adresse und technische Anfragedaten; eine Verarbeitung außerhalb der EU ist möglich. Ohne Einwilligung verwenden wir Systemschriften.</w:t>
      </w:r>
    </w:p>
    <w:p>
      <w:r>
        <w:rPr>
          <w:b/>
          <w:i w:val="0"/>
        </w:rPr>
        <w:t>Einstellungen ändern:</w:t>
      </w:r>
      <w:r>
        <w:rPr>
          <w:b w:val="0"/>
          <w:i w:val="0"/>
        </w:rPr>
        <w:t xml:space="preserve"> Über „Cookie-Einstellungen” im Footer können Sie Ihre Einwilligung jederzeit ändern oder widerrufen. „Nur notwendige” schaltet beide optionalen Funktionen aus. Der Widerruf wirkt für die Zukunft; bereits an Google übermittelte Daten lassen sich nicht zurückholen. Ohne JavaScript bleiben optionale Funktionen ausgeschaltet. Sie können Cookies außerdem jederzeit in Ihrem Browser löschen oder blockieren.</w:t>
      </w:r>
    </w:p>
    <w:p>
      <w:r>
        <w:rPr>
          <w:b/>
          <w:i w:val="0"/>
        </w:rPr>
        <w:t>Rechtlicher Rahmen:</w:t>
      </w:r>
      <w:r>
        <w:rPr>
          <w:b w:val="0"/>
          <w:i w:val="0"/>
        </w:rPr>
        <w:t xml:space="preserve"> In Österreich gilt § 165 Abs. 3 TKG 2021, in Deutschland § 25 TDDDG.</w:t>
      </w:r>
    </w:p>
    <w:p>
      <w:r>
        <w:rPr>
          <w:b/>
          <w:i w:val="0"/>
        </w:rPr>
        <w:t xml:space="preserve">Technische Sitzungsdaten: </w:t>
      </w:r>
      <w:r>
        <w:rPr>
          <w:b w:val="0"/>
          <w:i w:val="0"/>
        </w:rPr>
        <w:t>Die Necesso-Webanwendung kann neben lokalen Eingabeentwürfen notwendige Anmeldedaten und Einstellungen im Browser speichern. Diese funktionalen Daten sind von den Einwilligungseinstellungen der Marketing-Website getrennt. Für die technische Anmeldung und die Wiederaufnahme unterbrochener Vorgänge werden keine Werbe-Cookies eingesetzt.</w:t>
      </w:r>
    </w:p>
    <w:p>
      <w:pPr>
        <w:pStyle w:val="Heading1"/>
      </w:pPr>
      <w:r>
        <w:rPr>
          <w:b w:val="0"/>
          <w:i w:val="0"/>
        </w:rPr>
        <w:t>27. Begriffsdefinitionen</w:t>
      </w:r>
    </w:p>
    <w:p>
      <w:r>
        <w:rPr>
          <w:b w:val="0"/>
          <w:i w:val="0"/>
        </w:rPr>
        <w:t>Soweit Begriffe gesetzlich definiert sind, gelten die gesetzlichen Definitionen.</w:t>
      </w:r>
    </w:p>
    <w:p>
      <w:pPr>
        <w:pStyle w:val="ListBullet"/>
      </w:pPr>
      <w:r>
        <w:rPr>
          <w:b/>
          <w:i w:val="0"/>
        </w:rPr>
        <w:t>Personenbezogene Daten:</w:t>
      </w:r>
      <w:r>
        <w:rPr>
          <w:b w:val="0"/>
          <w:i w:val="0"/>
        </w:rPr>
        <w:t xml:space="preserve"> alle Informationen, die sich auf eine identifizierte oder identifizierbare natürliche Person beziehen, etwa über Name, Kennnummer, Standortdaten, Online-Kennung oder besondere Merkmale (Art. 4 Nr. 1 DSGVO).</w:t>
      </w:r>
    </w:p>
    <w:p>
      <w:pPr>
        <w:pStyle w:val="ListBullet"/>
      </w:pPr>
      <w:r>
        <w:rPr>
          <w:b/>
          <w:i w:val="0"/>
        </w:rPr>
        <w:t>Verantwortlicher:</w:t>
      </w:r>
      <w:r>
        <w:rPr>
          <w:b w:val="0"/>
          <w:i w:val="0"/>
        </w:rPr>
        <w:t xml:space="preserve"> wer allein oder gemeinsam mit anderen über Zwecke und Mittel der Verarbeitung entscheidet (Art. 4 Nr. 7 DSGVO).</w:t>
      </w:r>
    </w:p>
    <w:p>
      <w:pPr>
        <w:pStyle w:val="ListBullet"/>
      </w:pPr>
      <w:r>
        <w:rPr>
          <w:b/>
          <w:i w:val="0"/>
        </w:rPr>
        <w:t>Auftragsverarbeiter:</w:t>
      </w:r>
      <w:r>
        <w:rPr>
          <w:b w:val="0"/>
          <w:i w:val="0"/>
        </w:rPr>
        <w:t xml:space="preserve"> wer personenbezogene Daten im Auftrag des Verantwortlichen verarbeitet (Art. 4 Nr. 8 DSGVO).</w:t>
      </w:r>
    </w:p>
    <w:p>
      <w:pPr>
        <w:pStyle w:val="ListBullet"/>
      </w:pPr>
      <w:r>
        <w:rPr>
          <w:b/>
          <w:i w:val="0"/>
        </w:rPr>
        <w:t>Verarbeitung:</w:t>
      </w:r>
      <w:r>
        <w:rPr>
          <w:b w:val="0"/>
          <w:i w:val="0"/>
        </w:rPr>
        <w:t xml:space="preserve"> jeder Vorgang im Zusammenhang mit personenbezogenen Daten, etwa Erheben, Speichern, Auswerten, Übermitteln oder Löschen (Art. 4 Nr. 2 DSGVO).</w:t>
      </w:r>
    </w:p>
    <w:p>
      <w:pPr>
        <w:pStyle w:val="ListBullet"/>
      </w:pPr>
      <w:r>
        <w:rPr>
          <w:b/>
          <w:i w:val="0"/>
        </w:rPr>
        <w:t>Pseudonymisierung:</w:t>
      </w:r>
      <w:r>
        <w:rPr>
          <w:b w:val="0"/>
          <w:i w:val="0"/>
        </w:rPr>
        <w:t xml:space="preserve"> Daten werden so verändert, dass sie ohne zusätzliche, getrennt aufbewahrte Informationen keiner Person mehr zugeordnet werden können, bei uns durch Platzhalter (Art. 4 Nr. 5 DSGVO).</w:t>
      </w:r>
    </w:p>
    <w:p>
      <w:pPr>
        <w:pStyle w:val="ListBullet"/>
      </w:pPr>
      <w:r>
        <w:rPr>
          <w:b/>
          <w:i w:val="0"/>
        </w:rPr>
        <w:t>Drittland:</w:t>
      </w:r>
      <w:r>
        <w:rPr>
          <w:b w:val="0"/>
          <w:i w:val="0"/>
        </w:rPr>
        <w:t xml:space="preserve"> jedes Land außerhalb der EU und des EWR.</w:t>
      </w:r>
    </w:p>
    <w:p>
      <w:pPr>
        <w:pStyle w:val="ListBullet"/>
      </w:pPr>
      <w:r>
        <w:rPr>
          <w:b/>
          <w:i w:val="0"/>
        </w:rPr>
        <w:t>Kontaktdaten:</w:t>
      </w:r>
      <w:r>
        <w:rPr>
          <w:b w:val="0"/>
          <w:i w:val="0"/>
        </w:rPr>
        <w:t xml:space="preserve"> Telefonnummern, Anschriften, E-Mail-Adressen und Kennungen in Messengern oder sozialen Medien.</w:t>
      </w:r>
    </w:p>
    <w:p>
      <w:pPr>
        <w:pStyle w:val="ListBullet"/>
      </w:pPr>
      <w:r>
        <w:rPr>
          <w:b/>
          <w:i w:val="0"/>
        </w:rPr>
        <w:t>Vertragsdaten:</w:t>
      </w:r>
      <w:r>
        <w:rPr>
          <w:b w:val="0"/>
          <w:i w:val="0"/>
        </w:rPr>
        <w:t xml:space="preserve"> Angaben zu Vertragsparteien, Leistungen, Preisen, Zahlungsbedingungen, Laufzeit und Kündigung.</w:t>
      </w:r>
    </w:p>
    <w:p>
      <w:r>
        <w:rPr>
          <w:b w:val="0"/>
          <w:i w:val="0"/>
        </w:rPr>
        <w:t>Stand: Oktober 2026. Grundlage: Datenschutz Generator für Österreich von AdSimple, erweitert für die Necesso-Plattform.</w:t>
      </w:r>
    </w:p>
    <w:p>
      <w:r>
        <w:rPr>
          <w:b w:val="0"/>
          <w:i w:val="0"/>
        </w:rPr>
        <w:t>Cookie-Einstellungen öffnen</w:t>
      </w:r>
    </w:p>
    <w:p>
      <w:r>
        <w:rPr>
          <w:b w:val="0"/>
          <w:i w:val="0"/>
        </w:rPr>
        <w:t>Zurück nach oben ↑</w:t>
      </w:r>
    </w:p>
    <w:p>
      <w:pPr>
        <w:pStyle w:val="Title"/>
        <w:pageBreakBefore/>
      </w:pPr>
      <w:r>
        <w:t>Datensicherheit – technische und organisatorische Maßnahmen</w:t>
      </w:r>
    </w:p>
    <w:p>
      <w:r>
        <w:rPr>
          <w:b/>
          <w:color w:val="426E44"/>
          <w:sz w:val="16"/>
        </w:rPr>
        <w:t>GERMAN / DEUTSCH</w:t>
      </w:r>
    </w:p>
    <w:p>
      <w:r>
        <w:rPr>
          <w:b w:val="0"/>
          <w:i w:val="0"/>
        </w:rPr>
        <w:t>Necesso betreibt die Plattform bei Hetzner in Deutschland und verschlüsselt Offsite-Backups vor der Übertragung zu Hetzner Storage Box und Scaleway in Paris. Je nach Funktion werden Daten durch die in der Datenschutzerklärung genannten Anbieter verarbeitet. Vor einer Übermittlung an Anthropic werden direkte Identifikatoren durch Platzhalter ersetzt. Dieses Dokument beschreibt den dokumentierten Stand technischer und organisatorischer Maßnahmen nach Art. 32 DSGVO. Der kundenspezifische AVV wird im Rahmen des jeweiligen Vertragsverhältnisses bereitgestellt.</w:t>
      </w:r>
    </w:p>
    <w:p>
      <w:pPr>
        <w:pStyle w:val="Heading1"/>
      </w:pPr>
      <w:r>
        <w:rPr>
          <w:b w:val="0"/>
          <w:i w:val="0"/>
        </w:rPr>
        <w:t>1. Überblick</w:t>
      </w:r>
    </w:p>
    <w:tbl>
      <w:tblPr>
        <w:tblStyle w:val="LightShading-Accent1"/>
        <w:tblW w:type="auto" w:w="0"/>
        <w:jc w:val="center"/>
        <w:tblLook w:firstColumn="1" w:firstRow="1" w:lastColumn="0" w:lastRow="0" w:noHBand="0" w:noVBand="1" w:val="04A0"/>
      </w:tblPr>
      <w:tblGrid>
        <w:gridCol w:w="4939"/>
        <w:gridCol w:w="4939"/>
      </w:tblGrid>
      <w:tr>
        <w:trPr>
          <w:tblHeader w:val="true"/>
        </w:trPr>
        <w:tc>
          <w:tcPr>
            <w:tcW w:type="dxa" w:w="4939"/>
            <w:vAlign w:val="center"/>
          </w:tcPr>
          <w:p>
            <w:r>
              <w:rPr>
                <w:b/>
                <w:i w:val="0"/>
                <w:sz w:val="16"/>
              </w:rPr>
              <w:t>Bereich</w:t>
            </w:r>
          </w:p>
        </w:tc>
        <w:tc>
          <w:tcPr>
            <w:tcW w:type="dxa" w:w="4939"/>
            <w:vAlign w:val="center"/>
          </w:tcPr>
          <w:p>
            <w:r>
              <w:rPr>
                <w:b/>
                <w:i w:val="0"/>
                <w:sz w:val="16"/>
              </w:rPr>
              <w:t>Maßnahme</w:t>
            </w:r>
          </w:p>
        </w:tc>
      </w:tr>
      <w:tr>
        <w:tc>
          <w:tcPr>
            <w:tcW w:type="dxa" w:w="4939"/>
            <w:vAlign w:val="center"/>
          </w:tcPr>
          <w:p>
            <w:r>
              <w:rPr>
                <w:b w:val="0"/>
                <w:i w:val="0"/>
                <w:sz w:val="16"/>
              </w:rPr>
              <w:t>Standort</w:t>
            </w:r>
          </w:p>
        </w:tc>
        <w:tc>
          <w:tcPr>
            <w:tcW w:type="dxa" w:w="4939"/>
            <w:vAlign w:val="center"/>
          </w:tcPr>
          <w:p>
            <w:r>
              <w:rPr>
                <w:b w:val="0"/>
                <w:i w:val="0"/>
                <w:sz w:val="16"/>
              </w:rPr>
              <w:t>Hetzner Deutschland; AES-256-verschlüsselte Offsite-Kopien bei Hetzner Storage Box und Scaleway Paris</w:t>
            </w:r>
          </w:p>
        </w:tc>
      </w:tr>
      <w:tr>
        <w:tc>
          <w:tcPr>
            <w:tcW w:type="dxa" w:w="4939"/>
            <w:vAlign w:val="center"/>
          </w:tcPr>
          <w:p>
            <w:r>
              <w:rPr>
                <w:b w:val="0"/>
                <w:i w:val="0"/>
                <w:sz w:val="16"/>
              </w:rPr>
              <w:t>Verschlüsselung</w:t>
            </w:r>
          </w:p>
        </w:tc>
        <w:tc>
          <w:tcPr>
            <w:tcW w:type="dxa" w:w="4939"/>
            <w:vAlign w:val="center"/>
          </w:tcPr>
          <w:p>
            <w:r>
              <w:rPr>
                <w:b w:val="0"/>
                <w:i w:val="0"/>
                <w:sz w:val="16"/>
              </w:rPr>
              <w:t>TLS; AES-256 für ausgewählte Geheimnisse und vor Versand der Backups durch Necesso</w:t>
            </w:r>
          </w:p>
        </w:tc>
      </w:tr>
      <w:tr>
        <w:tc>
          <w:tcPr>
            <w:tcW w:type="dxa" w:w="4939"/>
            <w:vAlign w:val="center"/>
          </w:tcPr>
          <w:p>
            <w:r>
              <w:rPr>
                <w:b w:val="0"/>
                <w:i w:val="0"/>
                <w:sz w:val="16"/>
              </w:rPr>
              <w:t>Mandantentrennung</w:t>
            </w:r>
          </w:p>
        </w:tc>
        <w:tc>
          <w:tcPr>
            <w:tcW w:type="dxa" w:w="4939"/>
            <w:vAlign w:val="center"/>
          </w:tcPr>
          <w:p>
            <w:r>
              <w:rPr>
                <w:b w:val="0"/>
                <w:i w:val="0"/>
                <w:sz w:val="16"/>
              </w:rPr>
              <w:t>Getrennte Daten und Schlüssel pro Kundenbetrieb</w:t>
            </w:r>
          </w:p>
        </w:tc>
      </w:tr>
      <w:tr>
        <w:tc>
          <w:tcPr>
            <w:tcW w:type="dxa" w:w="4939"/>
            <w:vAlign w:val="center"/>
          </w:tcPr>
          <w:p>
            <w:r>
              <w:rPr>
                <w:b w:val="0"/>
                <w:i w:val="0"/>
                <w:sz w:val="16"/>
              </w:rPr>
              <w:t>Zugriff</w:t>
            </w:r>
          </w:p>
        </w:tc>
        <w:tc>
          <w:tcPr>
            <w:tcW w:type="dxa" w:w="4939"/>
            <w:vAlign w:val="center"/>
          </w:tcPr>
          <w:p>
            <w:r>
              <w:rPr>
                <w:b w:val="0"/>
                <w:i w:val="0"/>
                <w:sz w:val="16"/>
              </w:rPr>
              <w:t>Rollenbasierte Berechtigungen; privilegierter Serverzugriff technisch möglich</w:t>
            </w:r>
          </w:p>
        </w:tc>
      </w:tr>
      <w:tr>
        <w:tc>
          <w:tcPr>
            <w:tcW w:type="dxa" w:w="4939"/>
            <w:vAlign w:val="center"/>
          </w:tcPr>
          <w:p>
            <w:r>
              <w:rPr>
                <w:b w:val="0"/>
                <w:i w:val="0"/>
                <w:sz w:val="16"/>
              </w:rPr>
              <w:t>KI</w:t>
            </w:r>
          </w:p>
        </w:tc>
        <w:tc>
          <w:tcPr>
            <w:tcW w:type="dxa" w:w="4939"/>
            <w:vAlign w:val="center"/>
          </w:tcPr>
          <w:p>
            <w:r>
              <w:rPr>
                <w:b w:val="0"/>
                <w:i w:val="0"/>
                <w:sz w:val="16"/>
              </w:rPr>
              <w:t>Mistral EU-Endpunkt; Anthropic US nur nach Datenschutz-Gateway (Pseudonymisierung, Grenzen der Erkennung, Drittlandprüfung)</w:t>
            </w:r>
          </w:p>
        </w:tc>
      </w:tr>
      <w:tr>
        <w:tc>
          <w:tcPr>
            <w:tcW w:type="dxa" w:w="4939"/>
            <w:vAlign w:val="center"/>
          </w:tcPr>
          <w:p>
            <w:r>
              <w:rPr>
                <w:b w:val="0"/>
                <w:i w:val="0"/>
                <w:sz w:val="16"/>
              </w:rPr>
              <w:t>Transkription</w:t>
            </w:r>
          </w:p>
        </w:tc>
        <w:tc>
          <w:tcPr>
            <w:tcW w:type="dxa" w:w="4939"/>
            <w:vAlign w:val="center"/>
          </w:tcPr>
          <w:p>
            <w:r>
              <w:rPr>
                <w:b w:val="0"/>
                <w:i w:val="0"/>
                <w:sz w:val="16"/>
              </w:rPr>
              <w:t>Voxtral EU für Diktate DE/EN/HU/TR; Whisper bei Hetzner für übrige Diktate, alle Anrufe und WhatsApp-Sprachnachrichten</w:t>
            </w:r>
          </w:p>
        </w:tc>
      </w:tr>
      <w:tr>
        <w:tc>
          <w:tcPr>
            <w:tcW w:type="dxa" w:w="4939"/>
            <w:vAlign w:val="center"/>
          </w:tcPr>
          <w:p>
            <w:r>
              <w:rPr>
                <w:b w:val="0"/>
                <w:i w:val="0"/>
                <w:sz w:val="16"/>
              </w:rPr>
              <w:t>Löschung</w:t>
            </w:r>
          </w:p>
        </w:tc>
        <w:tc>
          <w:tcPr>
            <w:tcW w:type="dxa" w:w="4939"/>
            <w:vAlign w:val="center"/>
          </w:tcPr>
          <w:p>
            <w:r>
              <w:rPr>
                <w:b w:val="0"/>
                <w:i w:val="0"/>
                <w:sz w:val="16"/>
              </w:rPr>
              <w:t>Audio 7/14 Tage nach Transkript; Kopien in Backups können verbleiben</w:t>
            </w:r>
          </w:p>
        </w:tc>
      </w:tr>
      <w:tr>
        <w:tc>
          <w:tcPr>
            <w:tcW w:type="dxa" w:w="4939"/>
            <w:vAlign w:val="center"/>
          </w:tcPr>
          <w:p>
            <w:r>
              <w:rPr>
                <w:b w:val="0"/>
                <w:i w:val="0"/>
                <w:sz w:val="16"/>
              </w:rPr>
              <w:t>Backups</w:t>
            </w:r>
          </w:p>
        </w:tc>
        <w:tc>
          <w:tcPr>
            <w:tcW w:type="dxa" w:w="4939"/>
            <w:vAlign w:val="center"/>
          </w:tcPr>
          <w:p>
            <w:r>
              <w:rPr>
                <w:b w:val="0"/>
                <w:i w:val="0"/>
                <w:sz w:val="16"/>
              </w:rPr>
              <w:t>14 Tage am Server; Storage Box Hetzner und Scaleway Paris ohne feste Löschfrist</w:t>
            </w:r>
          </w:p>
        </w:tc>
      </w:tr>
    </w:tbl>
    <w:p/>
    <w:p>
      <w:pPr>
        <w:pStyle w:val="Heading1"/>
      </w:pPr>
      <w:r>
        <w:rPr>
          <w:b w:val="0"/>
          <w:i w:val="0"/>
        </w:rPr>
        <w:t>2. Hosting und Datenstandort</w:t>
      </w:r>
    </w:p>
    <w:p>
      <w:r>
        <w:rPr>
          <w:b w:val="0"/>
          <w:i w:val="0"/>
        </w:rPr>
        <w:t>Die Geschäftsdaten von Betrieben mit Sitz in der EU werden bei Hetzner in Deutschland verarbeitet und gespeichert. Die Plattform-Sicherung umfasst nächtliche Kopien von Datenbank und Dateien, eine getrennte Hetzner Storage Box in Deutschland sowie eine zweite Kopie bei Scaleway Object Storage in Paris (Frankreich). Die unmittelbaren Kopien auf dem Server werden 14 Tage aufbewahrt; Kopien auf der Storage Box und bei Scaleway werden nach der technischen Dokumentation derzeit ohne festgelegtes Ablaufdatum vorgehalten. Die Scaleway-Kopie ist providerseitig verschlüsselt. Website und Plattform sind getrennt: necesso.ai wird bei Netlify gehostet; GoDaddy verwaltet nur die Domain. Die technischen Protokolle dieser Anbieter unterliegen eigenen Fristen.</w:t>
      </w:r>
    </w:p>
    <w:p>
      <w:pPr>
        <w:pStyle w:val="Heading1"/>
      </w:pPr>
      <w:r>
        <w:rPr>
          <w:b w:val="0"/>
          <w:i w:val="0"/>
        </w:rPr>
        <w:t>3. Verschlüsselung</w:t>
      </w:r>
    </w:p>
    <w:p>
      <w:r>
        <w:rPr>
          <w:b w:val="0"/>
          <w:i w:val="0"/>
        </w:rPr>
        <w:t>Die Übertragung zwischen Browser und Necesso erfolgt über HTTPS/TLS. Zugangsdaten zu Lieferanten, Authenticator-Geheimnisse, Bank-Sitzungen, WhatsApp-Tokens und bekannte Werte des Privacy-Gateways werden laut technischer Dokumentation mit AES-256 (pgcrypto) verschlüsselt. Die Schlüssel liegen außerhalb der Datenbank, werden je Zweck getrennt geführt und regelmäßig gewechselt; bestehende Werte werden neu verschlüsselt.</w:t>
      </w:r>
    </w:p>
    <w:p>
      <w:r>
        <w:rPr>
          <w:b/>
          <w:i w:val="0"/>
        </w:rPr>
        <w:t>Neu dokumentiert:</w:t>
      </w:r>
      <w:r>
        <w:rPr>
          <w:b w:val="0"/>
          <w:i w:val="0"/>
        </w:rPr>
        <w:t xml:space="preserve"> Jede nächtliche Datenbank- und Dateisicherung wird von Necesso selbst mit AES-256 verschlüsselt, </w:t>
      </w:r>
      <w:r>
        <w:rPr>
          <w:b/>
          <w:i w:val="0"/>
        </w:rPr>
        <w:t>bevor sie den Server verlässt</w:t>
      </w:r>
      <w:r>
        <w:rPr>
          <w:b w:val="0"/>
          <w:i w:val="0"/>
        </w:rPr>
        <w:t>; Sicherung und Schlüssel werden getrennt gespeichert. Dies ist von einer flächendeckenden Verschlüsselung aller Festplatten zu unterscheiden: eine eigene Vollverschlüsselung der primären Serverlaufwerke ist nicht dokumentiert. Innerhalb des privaten Container-Netzes desselben Servers besteht nicht für jede Verbindung ein gesondertes TLS.</w:t>
      </w:r>
    </w:p>
    <w:p>
      <w:pPr>
        <w:pStyle w:val="Heading1"/>
      </w:pPr>
      <w:r>
        <w:rPr>
          <w:b w:val="0"/>
          <w:i w:val="0"/>
        </w:rPr>
        <w:t>4. Mandantentrennung und Backups</w:t>
      </w:r>
    </w:p>
    <w:p>
      <w:r>
        <w:rPr>
          <w:b w:val="0"/>
          <w:i w:val="0"/>
        </w:rPr>
        <w:t>Row-Level Security in der Datenbank trennt die Daten der Betriebe. Zusätzlich begrenzen Rollen, Funktionen und Berechtigungen den Zugriff innerhalb eines Betriebs. Berechtigungen werden serverseitig geprüft und automatisiert getestet.</w:t>
      </w:r>
    </w:p>
    <w:p>
      <w:r>
        <w:rPr>
          <w:b/>
          <w:i w:val="0"/>
        </w:rPr>
        <w:t>Backups:</w:t>
      </w:r>
      <w:r>
        <w:rPr>
          <w:b w:val="0"/>
          <w:i w:val="0"/>
        </w:rPr>
        <w:t xml:space="preserve"> Datenbank und Dateien werden nachts gesichert. Kopien bleiben 14 Tage auf dem Server und nach dem dokumentierten Stand ohne feste Endfrist auf Hetzner Storage Box (Deutschland) und Scaleway Object Storage (Paris). Die Kopien werden vor Verlassen des Servers mit AES-256 verschlüsselt; die zweite Kopie ist bei Scaleway für zehn Jahre gegen Änderung und Löschung geschützt (Governance-Modus). Wiederherstellungsproben und ein Löschprotokoll sind dokumentiert. </w:t>
      </w:r>
      <w:r>
        <w:rPr>
          <w:b/>
          <w:i w:val="0"/>
        </w:rPr>
        <w:t>Wichtig:</w:t>
      </w:r>
      <w:r>
        <w:rPr>
          <w:b w:val="0"/>
          <w:i w:val="0"/>
        </w:rPr>
        <w:t xml:space="preserve"> Nach der Löschung im Live-System können personenbezogene Daten weiter in unveränderbaren historischen Sicherungen enthalten sein; Löschungen werden nach einer Wiederherstellung erneut angewandt. Eine begrenzte Aufbewahrungsfrist für alle Sicherungstypen muss noch festgelegt werden.</w:t>
      </w:r>
    </w:p>
    <w:p>
      <w:pPr>
        <w:pStyle w:val="Heading1"/>
      </w:pPr>
      <w:r>
        <w:rPr>
          <w:b w:val="0"/>
          <w:i w:val="0"/>
        </w:rPr>
        <w:t>5. Zugriffskontrolle</w:t>
      </w:r>
    </w:p>
    <w:p>
      <w:r>
        <w:rPr>
          <w:b w:val="0"/>
          <w:i w:val="0"/>
        </w:rPr>
        <w:t>Das System verwendet individuelle Zugänge, Argon2id-Passworthashes, rollenbasierte Rechte, Passkeys und alternative Zwei-Faktor-Verfahren. Ein Passkey-Privatschlüssel bleibt auf dem Gerät; gespeichert werden der öffentliche Schlüssel, die Kennung des Schlüssels, Browser-/Systemangaben und die letzte Verwendung. Bei Passwortfestlegung über Einladungs- oder Zurücksetzungslinks wird ein Hashpräfix bei „Have I Been Pwned“ geprüft; ist der Dienst nicht erreichbar, wird das Passwort laut Dokumentation angenommen.</w:t>
      </w:r>
    </w:p>
    <w:p>
      <w:r>
        <w:rPr>
          <w:b w:val="0"/>
          <w:i w:val="0"/>
        </w:rPr>
        <w:t>Privilegierte Betreiber mit Serverzugang können technisch auf die Datenbank zugreifen; dieser Zugriff erscheint nicht zwingend im kundeninternen Aktivitätsprotokoll. Eine vollständig vom Betreiber abgeschottete Verarbeitung wird daher nicht zugesichert.</w:t>
      </w:r>
    </w:p>
    <w:p>
      <w:pPr>
        <w:pStyle w:val="Heading1"/>
      </w:pPr>
      <w:r>
        <w:rPr>
          <w:b w:val="0"/>
          <w:i w:val="0"/>
        </w:rPr>
        <w:t>6. KI-Funktionen und Pseudonymisierung</w:t>
      </w:r>
    </w:p>
    <w:p>
      <w:r>
        <w:rPr>
          <w:b w:val="0"/>
          <w:i w:val="0"/>
        </w:rPr>
        <w:t>Der In-App-Assistent ist derzeit serverseitig auf Mistral AI mit EU-Endpunkt eingestellt; weitere dokumentierte Mistral-Funktionen umfassen Kassenbons, KI-Katalogsuche und Spracheingaben. Würde der Assistent auf Anthropic umgestellt, müsste er dieselbe Gateway-Prüfung wie andere Anthropic-Funktionen durchlaufen. Jeder KI-Schritt soll nur die für seine Aufgabe nötigen Datenfelder erhalten.</w:t>
      </w:r>
    </w:p>
    <w:p>
      <w:r>
        <w:rPr>
          <w:b w:val="0"/>
          <w:i w:val="0"/>
        </w:rPr>
        <w:t>Bei Anfragen von EU-Betrieben an Anthropic (USA) prüft das Privacy-Gateway bekannte Identifikatoren nur in den Datensätzen, die die anfragende Person sehen darf, sowie feste Muster und von Mistral markierte Freitextstellen. Gefundene Werte werden durch anfragespezifische Platzhalter ersetzt. Die Zuordnung besteht für die Dauer der Anfrage ausschließlich im Arbeitsspeicher auf dem EU-Server; bekannte Werte aus den Betriebsdatensätzen liegen verschlüsselt in der EU-Datenbank. Bei der Rückführung werden nur berechtigte Werte aufgelöst.</w:t>
      </w:r>
    </w:p>
    <w:p>
      <w:r>
        <w:rPr>
          <w:b/>
          <w:i w:val="0"/>
        </w:rPr>
        <w:t>Fail-closed und Nachweis:</w:t>
      </w:r>
      <w:r>
        <w:rPr>
          <w:b w:val="0"/>
          <w:i w:val="0"/>
        </w:rPr>
        <w:t xml:space="preserve"> Ist die Prüfung fehlgeschlagen oder als unvollständig erkennbar, wird nicht an Anthropic gesendet; die Aufgabe geht zur menschlichen Freigabe. Vor der Übermittlung wird die Absicht protokolliert und danach das Ergebnis; bei fehlendem Ergebniseintrag gilt der Ausgang als unbekannt. </w:t>
      </w:r>
      <w:r>
        <w:rPr>
          <w:b/>
          <w:i w:val="0"/>
        </w:rPr>
        <w:t>Grenze:</w:t>
      </w:r>
      <w:r>
        <w:rPr>
          <w:b w:val="0"/>
          <w:i w:val="0"/>
        </w:rPr>
        <w:t xml:space="preserve"> Unbekannte Spitznamen, ungewöhnliche Schreibweisen oder indirekt identifizierende Angaben können trotz Prüfung unerkannt durchgehen. Pseudonymisierung ist keine Anonymisierung. Drittlandübermittlungen unterliegen den jeweils einschlägigen Anforderungen nach Art. 44 ff. DSGVO.</w:t>
      </w:r>
    </w:p>
    <w:p>
      <w:r>
        <w:rPr>
          <w:b w:val="0"/>
          <w:i w:val="0"/>
        </w:rPr>
        <w:t>WhatsApp-Texte und als Spracheingabe gekennzeichnete Folgedaten werden für EU-Betriebe laut Dokumentation nicht an Anthropic geschickt; bei manuell kopierten Inhalten und älteren Datensätzen kann die Herkunftskennzeichnung fehlen.</w:t>
      </w:r>
    </w:p>
    <w:p>
      <w:pPr>
        <w:pStyle w:val="Heading1"/>
      </w:pPr>
      <w:r>
        <w:rPr>
          <w:b w:val="0"/>
          <w:i w:val="0"/>
        </w:rPr>
        <w:t>7. Anrufaufzeichnung und Transkription</w:t>
      </w:r>
    </w:p>
    <w:p>
      <w:r>
        <w:rPr>
          <w:b w:val="0"/>
          <w:i w:val="0"/>
        </w:rPr>
        <w:t>Bei aktivierter Telefoniefunktion wird die anrufende Person nach der derzeitigen technischen Beschreibung zu Beginn des Gesprächs durch eine Ansage über die Transkription informiert; anschließend wird die Aufnahme erstellt. Die Audiodatei wird nach dem Abruf beim Telefonieanbieter gelöscht und auf eigenen Servern mit faster-whisper transkribiert. Eine Aufzeichnung wird laut vorliegender Beschreibung nach 14 Tagen &lt;em&gt;ab Vorliegen des Transkripts&lt;/em&gt; aus dem aktiven Dateispeicher entfernt; WhatsApp-Sprachnachrichten und Audio am Auftrag nach sieben Tagen. Wenn kein Transkript vorliegt, kann die automatische Frist ausbleiben. Interne Sicherungen sind davon getrennt. Eine Ansage allein ersetzt keinen Nachweis einer rechtlich erforderlichen Einwilligung: Rechtsgrundlage und Aufzeichnungspraxis sind vor Aktivierung zu überprüfen.</w:t>
      </w:r>
    </w:p>
    <w:p>
      <w:pPr>
        <w:pStyle w:val="Heading1"/>
      </w:pPr>
      <w:r>
        <w:rPr>
          <w:b w:val="0"/>
          <w:i w:val="0"/>
        </w:rPr>
        <w:t>8. Datenübermittlung außerhalb des EWR</w:t>
      </w:r>
    </w:p>
    <w:p>
      <w:r>
        <w:rPr>
          <w:b w:val="0"/>
          <w:i w:val="0"/>
        </w:rPr>
        <w:t>Für die Übermittlung von pseudonymisierten Kundendaten an Anthropic außerhalb des EWR gelten vier Bedingungen:</w:t>
      </w:r>
    </w:p>
    <w:p>
      <w:pPr>
        <w:pStyle w:val="ListNumber"/>
      </w:pPr>
      <w:r>
        <w:rPr>
          <w:b w:val="0"/>
          <w:i w:val="0"/>
        </w:rPr>
        <w:t>verschlüsselt bei der Übertragung; ausgewählte Geheimnisse und Offsite-Backups sind gesondert geschützt,</w:t>
      </w:r>
    </w:p>
    <w:p>
      <w:pPr>
        <w:pStyle w:val="ListNumber"/>
      </w:pPr>
      <w:r>
        <w:rPr>
          <w:b w:val="0"/>
          <w:i w:val="0"/>
        </w:rPr>
        <w:t>direkt identifizierende Angaben vorher entfernt oder durch Platzhalter ersetzt,</w:t>
      </w:r>
    </w:p>
    <w:p>
      <w:pPr>
        <w:pStyle w:val="ListNumber"/>
      </w:pPr>
      <w:r>
        <w:rPr>
          <w:b w:val="0"/>
          <w:i w:val="0"/>
        </w:rPr>
        <w:t>der Zuordnungsschlüssel bleibt im EWR,</w:t>
      </w:r>
    </w:p>
    <w:p>
      <w:pPr>
        <w:pStyle w:val="ListNumber"/>
      </w:pPr>
      <w:r>
        <w:rPr>
          <w:b w:val="0"/>
          <w:i w:val="0"/>
        </w:rPr>
        <w:t>Grundlage nach Art. 44 ff. DSGVO (Angemessenheitsbeschluss oder EU-Standardvertragsklauseln).</w:t>
      </w:r>
    </w:p>
    <w:p>
      <w:r>
        <w:rPr>
          <w:b w:val="0"/>
          <w:i w:val="0"/>
        </w:rPr>
        <w:t>Andernfalls erfolgt keine Übermittlung an Anthropic. Diktataudio in DE/EN/HU/TR gelangt an Mistral über dessen EU-API-Endpunkt, ohne Übermittlung außerhalb des EWR. Sobald Twilio aktiviert wird, können Telefonnummern, Anrufzeiten und SMS-Inhalte unter dessen DPA und EU-Standardvertragsklauseln auch in den USA verarbeitet werden. Für WhatsApp gilt Abschnitt 10 der Datenschutzerklärung.</w:t>
      </w:r>
    </w:p>
    <w:p>
      <w:pPr>
        <w:pStyle w:val="Heading1"/>
      </w:pPr>
      <w:r>
        <w:rPr>
          <w:b w:val="0"/>
          <w:i w:val="0"/>
        </w:rPr>
        <w:t>9. Speicherfristen und Löschung</w:t>
      </w:r>
    </w:p>
    <w:p>
      <w:r>
        <w:rPr>
          <w:b w:val="0"/>
          <w:i w:val="0"/>
        </w:rPr>
        <w:t>Geschäftsdaten werden grundsätzlich für die Vertragsdauer und gegebenenfalls wegen gesetzlicher Aufbewahrungspflichten gespeichert. Österreichische Buchhaltungsunterlagen sind häufig sieben Jahre aufzubewahren. Anrufaudio: 14 Tage nach Vorliegen des Transkripts; WhatsApp- und Auftragsaudio: sieben Tage nach Transkription. Fehlt ein Transkript, beginnt nach den Dokumenten keine automatische Löschfrist. Support-Chats bleiben bis zur Löschung, Produkt-Suchauswertung zwölf Monate, Plattform-Serverlogs 30 Tage.</w:t>
      </w:r>
    </w:p>
    <w:p>
      <w:r>
        <w:rPr>
          <w:b w:val="0"/>
          <w:i w:val="0"/>
        </w:rPr>
        <w:t xml:space="preserve">Backups: 14 Tage auf dem Server, nach Dokumentation noch ohne zeitliche Begrenzung auf Hetzner Storage Box und Scaleway. Löschungen nach einer Wiederherstellung werden erneut umgesetzt. </w:t>
      </w:r>
      <w:r>
        <w:rPr>
          <w:b/>
          <w:i w:val="0"/>
        </w:rPr>
        <w:t>Die unbegrenzte Aufbewahrung historischer Sicherungen bleibt eine offene Frage der Speicherbegrenzung nach DSGVO.</w:t>
      </w:r>
      <w:r>
        <w:rPr>
          <w:b w:val="0"/>
          <w:i w:val="0"/>
        </w:rPr>
        <w:t xml:space="preserve"> Die vollständigen Angaben finden Sie in der </w:t>
      </w:r>
      <w:r>
        <w:rPr>
          <w:b w:val="0"/>
          <w:i w:val="0"/>
        </w:rPr>
        <w:t>Datenschutzerklärung</w:t>
      </w:r>
      <w:r>
        <w:rPr>
          <w:b w:val="0"/>
          <w:i w:val="0"/>
        </w:rPr>
        <w:t>.</w:t>
      </w:r>
    </w:p>
    <w:p>
      <w:pPr>
        <w:pStyle w:val="Heading1"/>
      </w:pPr>
      <w:r>
        <w:rPr>
          <w:b w:val="0"/>
          <w:i w:val="0"/>
        </w:rPr>
        <w:t>10. Protokollierung und Überwachung</w:t>
      </w:r>
    </w:p>
    <w:p>
      <w:r>
        <w:rPr>
          <w:b w:val="0"/>
          <w:i w:val="0"/>
        </w:rPr>
        <w:t>Anmelde- und Sicherheitsereignisse, Berechtigungsänderungen sowie Geschäftsvorgänge werden nach den technischen Unterlagen protokolliert. Das Privacy-Gateway protokolliert vor Anthropic-Anfragen den geplanten Versand und danach den Ausgang (gesendet, EU-Verarbeitung, abgelehnt oder Anbieterfehler), ohne die erkannten personenbezogenen Werte aufzunehmen. Ein fehlender Ergebniseintrag wird als unbekannt markiert; die Nachweise können je Betrieb monatlich eingesehen und exportiert werden. Die Aufbewahrungsfrist für diesen Nachweis ist noch festzulegen.</w:t>
      </w:r>
    </w:p>
    <w:p>
      <w:r>
        <w:rPr>
          <w:b w:val="0"/>
          <w:i w:val="0"/>
        </w:rPr>
        <w:t>Plattform-Serverlogs enthalten nach den neuen Dokumenten weder Passwörter noch Inhalte noch Namen, E-Mail-Adressen oder Telefonnummern und werden nach 30 Tagen gelöscht. Diese Frist gilt nicht für Netlify-Websiteprotokolle. Die Suchauswertung wird nach Filterung bekannter Identifikatoren zwölf Monate gespeichert; vor kurzem eingegebene oder ungewöhnliche Angaben können unerkannt bleiben. Privilegierte Datenbankzugriffe außerhalb der Kundenanwendung sind nicht vollständig in kundeninternen Aktivitätsprotokollen abgebildet.</w:t>
      </w:r>
    </w:p>
    <w:p>
      <w:pPr>
        <w:pStyle w:val="Heading1"/>
      </w:pPr>
      <w:r>
        <w:rPr>
          <w:b w:val="0"/>
          <w:i w:val="0"/>
        </w:rPr>
        <w:t>11. Datenschutzverletzungen</w:t>
      </w:r>
    </w:p>
    <w:p>
      <w:pPr>
        <w:pStyle w:val="ListBullet"/>
      </w:pPr>
      <w:r>
        <w:rPr>
          <w:b w:val="0"/>
          <w:i w:val="0"/>
        </w:rPr>
        <w:t>Der Auftragnehmer informiert betroffene Kundenbetriebe unverzüglich nach Kenntnis einer Verletzung des Schutzes ihrer Daten.</w:t>
      </w:r>
    </w:p>
    <w:p>
      <w:pPr>
        <w:pStyle w:val="ListBullet"/>
      </w:pPr>
      <w:r>
        <w:rPr>
          <w:b w:val="0"/>
          <w:i w:val="0"/>
        </w:rPr>
        <w:t>Er unterstützt sie bei der Meldung an die Datenschutzbehörde innerhalb von 72 Stunden (Art. 33 DSGVO) und bei der Benachrichtigung Betroffener.</w:t>
      </w:r>
    </w:p>
    <w:p>
      <w:pPr>
        <w:pStyle w:val="Heading1"/>
      </w:pPr>
      <w:r>
        <w:rPr>
          <w:b w:val="0"/>
          <w:i w:val="0"/>
        </w:rPr>
        <w:t>12. Unterauftragsverarbeiter</w:t>
      </w:r>
    </w:p>
    <w:tbl>
      <w:tblPr>
        <w:tblStyle w:val="LightShading-Accent1"/>
        <w:tblW w:type="auto" w:w="0"/>
        <w:jc w:val="center"/>
        <w:tblLook w:firstColumn="1" w:firstRow="1" w:lastColumn="0" w:lastRow="0" w:noHBand="0" w:noVBand="1" w:val="04A0"/>
      </w:tblPr>
      <w:tblGrid>
        <w:gridCol w:w="2469"/>
        <w:gridCol w:w="2469"/>
        <w:gridCol w:w="2469"/>
        <w:gridCol w:w="2469"/>
      </w:tblGrid>
      <w:tr>
        <w:trPr>
          <w:tblHeader w:val="true"/>
        </w:trPr>
        <w:tc>
          <w:tcPr>
            <w:tcW w:type="dxa" w:w="2469"/>
            <w:vAlign w:val="center"/>
          </w:tcPr>
          <w:p>
            <w:r>
              <w:rPr>
                <w:b/>
                <w:i w:val="0"/>
                <w:sz w:val="16"/>
              </w:rPr>
              <w:t>Anbieter</w:t>
            </w:r>
          </w:p>
        </w:tc>
        <w:tc>
          <w:tcPr>
            <w:tcW w:type="dxa" w:w="2469"/>
            <w:vAlign w:val="center"/>
          </w:tcPr>
          <w:p>
            <w:r>
              <w:rPr>
                <w:b/>
                <w:i w:val="0"/>
                <w:sz w:val="16"/>
              </w:rPr>
              <w:t>Zweck</w:t>
            </w:r>
          </w:p>
        </w:tc>
        <w:tc>
          <w:tcPr>
            <w:tcW w:type="dxa" w:w="2469"/>
            <w:vAlign w:val="center"/>
          </w:tcPr>
          <w:p>
            <w:r>
              <w:rPr>
                <w:b/>
                <w:i w:val="0"/>
                <w:sz w:val="16"/>
              </w:rPr>
              <w:t>Standort</w:t>
            </w:r>
          </w:p>
        </w:tc>
        <w:tc>
          <w:tcPr>
            <w:tcW w:type="dxa" w:w="2469"/>
            <w:vAlign w:val="center"/>
          </w:tcPr>
          <w:p>
            <w:r>
              <w:rPr>
                <w:b/>
                <w:i w:val="0"/>
                <w:sz w:val="16"/>
              </w:rPr>
              <w:t>Grundlage</w:t>
            </w:r>
          </w:p>
        </w:tc>
      </w:tr>
      <w:tr>
        <w:tc>
          <w:tcPr>
            <w:tcW w:type="dxa" w:w="2469"/>
            <w:vAlign w:val="center"/>
          </w:tcPr>
          <w:p>
            <w:r>
              <w:rPr>
                <w:b w:val="0"/>
                <w:i w:val="0"/>
                <w:sz w:val="16"/>
              </w:rPr>
              <w:t>Hetzner Online GmbH</w:t>
            </w:r>
          </w:p>
        </w:tc>
        <w:tc>
          <w:tcPr>
            <w:tcW w:type="dxa" w:w="2469"/>
            <w:vAlign w:val="center"/>
          </w:tcPr>
          <w:p>
            <w:r>
              <w:rPr>
                <w:b w:val="0"/>
                <w:i w:val="0"/>
                <w:sz w:val="16"/>
              </w:rPr>
              <w:t>Server, tägliche Backups, eigene Whisper-Transkription, Piper-Sprachausgabe</w:t>
            </w:r>
          </w:p>
        </w:tc>
        <w:tc>
          <w:tcPr>
            <w:tcW w:type="dxa" w:w="2469"/>
            <w:vAlign w:val="center"/>
          </w:tcPr>
          <w:p>
            <w:r>
              <w:rPr>
                <w:b w:val="0"/>
                <w:i w:val="0"/>
                <w:sz w:val="16"/>
              </w:rPr>
              <w:t>Deutschland</w:t>
            </w:r>
          </w:p>
        </w:tc>
        <w:tc>
          <w:tcPr>
            <w:tcW w:type="dxa" w:w="2469"/>
            <w:vAlign w:val="center"/>
          </w:tcPr>
          <w:p>
            <w:r>
              <w:rPr>
                <w:b w:val="0"/>
                <w:i w:val="0"/>
                <w:sz w:val="16"/>
              </w:rPr>
              <w:t>EU</w:t>
            </w:r>
          </w:p>
        </w:tc>
      </w:tr>
      <w:tr>
        <w:tc>
          <w:tcPr>
            <w:tcW w:type="dxa" w:w="2469"/>
            <w:vAlign w:val="center"/>
          </w:tcPr>
          <w:p>
            <w:r>
              <w:rPr>
                <w:b w:val="0"/>
                <w:i w:val="0"/>
                <w:sz w:val="16"/>
              </w:rPr>
              <w:t>Scaleway</w:t>
            </w:r>
          </w:p>
        </w:tc>
        <w:tc>
          <w:tcPr>
            <w:tcW w:type="dxa" w:w="2469"/>
            <w:vAlign w:val="center"/>
          </w:tcPr>
          <w:p>
            <w:r>
              <w:rPr>
                <w:b w:val="0"/>
                <w:i w:val="0"/>
                <w:sz w:val="16"/>
              </w:rPr>
              <w:t>E-Mail-Versand (Empfänger, Name, Betreff, Inhalt, Anhänge); verschlüsselte Offsite-Backups (Paris)</w:t>
            </w:r>
          </w:p>
        </w:tc>
        <w:tc>
          <w:tcPr>
            <w:tcW w:type="dxa" w:w="2469"/>
            <w:vAlign w:val="center"/>
          </w:tcPr>
          <w:p>
            <w:r>
              <w:rPr>
                <w:b w:val="0"/>
                <w:i w:val="0"/>
                <w:sz w:val="16"/>
              </w:rPr>
              <w:t>Frankreich</w:t>
            </w:r>
          </w:p>
        </w:tc>
        <w:tc>
          <w:tcPr>
            <w:tcW w:type="dxa" w:w="2469"/>
            <w:vAlign w:val="center"/>
          </w:tcPr>
          <w:p>
            <w:r>
              <w:rPr>
                <w:b w:val="0"/>
                <w:i w:val="0"/>
                <w:sz w:val="16"/>
              </w:rPr>
              <w:t>EU</w:t>
            </w:r>
          </w:p>
        </w:tc>
      </w:tr>
      <w:tr>
        <w:tc>
          <w:tcPr>
            <w:tcW w:type="dxa" w:w="2469"/>
            <w:vAlign w:val="center"/>
          </w:tcPr>
          <w:p>
            <w:r>
              <w:rPr>
                <w:b w:val="0"/>
                <w:i w:val="0"/>
                <w:sz w:val="16"/>
              </w:rPr>
              <w:t>Migadu (Infrastruktur: OVHcloud)</w:t>
            </w:r>
          </w:p>
        </w:tc>
        <w:tc>
          <w:tcPr>
            <w:tcW w:type="dxa" w:w="2469"/>
            <w:vAlign w:val="center"/>
          </w:tcPr>
          <w:p>
            <w:r>
              <w:rPr>
                <w:b w:val="0"/>
                <w:i w:val="0"/>
                <w:sz w:val="16"/>
              </w:rPr>
              <w:t>E-Mail-Empfang und Postfächer; AVV vorunterzeichnet</w:t>
            </w:r>
          </w:p>
        </w:tc>
        <w:tc>
          <w:tcPr>
            <w:tcW w:type="dxa" w:w="2469"/>
            <w:vAlign w:val="center"/>
          </w:tcPr>
          <w:p>
            <w:r>
              <w:rPr>
                <w:b w:val="0"/>
                <w:i w:val="0"/>
                <w:sz w:val="16"/>
              </w:rPr>
              <w:t>EWR / Schweiz; Infrastruktur Frankreich / Niederlande</w:t>
            </w:r>
          </w:p>
        </w:tc>
        <w:tc>
          <w:tcPr>
            <w:tcW w:type="dxa" w:w="2469"/>
            <w:vAlign w:val="center"/>
          </w:tcPr>
          <w:p>
            <w:r>
              <w:rPr>
                <w:b w:val="0"/>
                <w:i w:val="0"/>
                <w:sz w:val="16"/>
              </w:rPr>
              <w:t>EWR / Schweiz</w:t>
            </w:r>
          </w:p>
        </w:tc>
      </w:tr>
      <w:tr>
        <w:tc>
          <w:tcPr>
            <w:tcW w:type="dxa" w:w="2469"/>
            <w:vAlign w:val="center"/>
          </w:tcPr>
          <w:p>
            <w:r>
              <w:rPr>
                <w:b w:val="0"/>
                <w:i w:val="0"/>
                <w:sz w:val="16"/>
              </w:rPr>
              <w:t>Mistral AI</w:t>
            </w:r>
          </w:p>
        </w:tc>
        <w:tc>
          <w:tcPr>
            <w:tcW w:type="dxa" w:w="2469"/>
            <w:vAlign w:val="center"/>
          </w:tcPr>
          <w:p>
            <w:r>
              <w:rPr>
                <w:b w:val="0"/>
                <w:i w:val="0"/>
                <w:sz w:val="16"/>
              </w:rPr>
              <w:t>KI-Assistent, Support-Chat, Belegauslesen, Datenschutz-Erkennung, Diktat (Voxtral: DE/EN/HU/TR), KI-Textkorrektur</w:t>
            </w:r>
          </w:p>
        </w:tc>
        <w:tc>
          <w:tcPr>
            <w:tcW w:type="dxa" w:w="2469"/>
            <w:vAlign w:val="center"/>
          </w:tcPr>
          <w:p>
            <w:r>
              <w:rPr>
                <w:b w:val="0"/>
                <w:i w:val="0"/>
                <w:sz w:val="16"/>
              </w:rPr>
              <w:t>EU-API api.eu.mistral.ai</w:t>
            </w:r>
          </w:p>
        </w:tc>
        <w:tc>
          <w:tcPr>
            <w:tcW w:type="dxa" w:w="2469"/>
            <w:vAlign w:val="center"/>
          </w:tcPr>
          <w:p>
            <w:r>
              <w:rPr>
                <w:b w:val="0"/>
                <w:i w:val="0"/>
                <w:sz w:val="16"/>
              </w:rPr>
              <w:t>EU; API-Eingaben und -Ausgaben 30 Tage zur Missbrauchsüberwachung</w:t>
            </w:r>
          </w:p>
        </w:tc>
      </w:tr>
      <w:tr>
        <w:tc>
          <w:tcPr>
            <w:tcW w:type="dxa" w:w="2469"/>
            <w:vAlign w:val="center"/>
          </w:tcPr>
          <w:p>
            <w:r>
              <w:rPr>
                <w:b w:val="0"/>
                <w:i w:val="0"/>
                <w:sz w:val="16"/>
              </w:rPr>
              <w:t>Anthropic PBC</w:t>
            </w:r>
          </w:p>
        </w:tc>
        <w:tc>
          <w:tcPr>
            <w:tcW w:type="dxa" w:w="2469"/>
            <w:vAlign w:val="center"/>
          </w:tcPr>
          <w:p>
            <w:r>
              <w:rPr>
                <w:b w:val="0"/>
                <w:i w:val="0"/>
                <w:sz w:val="16"/>
              </w:rPr>
              <w:t>KI-Hilfsfunktionen, ausschließlich pseudonymisierte Daten (Platzhalter)</w:t>
            </w:r>
          </w:p>
        </w:tc>
        <w:tc>
          <w:tcPr>
            <w:tcW w:type="dxa" w:w="2469"/>
            <w:vAlign w:val="center"/>
          </w:tcPr>
          <w:p>
            <w:r>
              <w:rPr>
                <w:b w:val="0"/>
                <w:i w:val="0"/>
                <w:sz w:val="16"/>
              </w:rPr>
              <w:t>USA</w:t>
            </w:r>
          </w:p>
        </w:tc>
        <w:tc>
          <w:tcPr>
            <w:tcW w:type="dxa" w:w="2469"/>
            <w:vAlign w:val="center"/>
          </w:tcPr>
          <w:p>
            <w:r>
              <w:rPr>
                <w:b w:val="0"/>
                <w:i w:val="0"/>
                <w:sz w:val="16"/>
              </w:rPr>
              <w:t>EU-Standardvertragsklauseln im DPA</w:t>
            </w:r>
          </w:p>
        </w:tc>
      </w:tr>
      <w:tr>
        <w:tc>
          <w:tcPr>
            <w:tcW w:type="dxa" w:w="2469"/>
            <w:vAlign w:val="center"/>
          </w:tcPr>
          <w:p>
            <w:r>
              <w:rPr>
                <w:b w:val="0"/>
                <w:i w:val="0"/>
                <w:sz w:val="16"/>
              </w:rPr>
              <w:t>Meta Platforms Ireland Ltd.</w:t>
            </w:r>
          </w:p>
        </w:tc>
        <w:tc>
          <w:tcPr>
            <w:tcW w:type="dxa" w:w="2469"/>
            <w:vAlign w:val="center"/>
          </w:tcPr>
          <w:p>
            <w:r>
              <w:rPr>
                <w:b w:val="0"/>
                <w:i w:val="0"/>
                <w:sz w:val="16"/>
              </w:rPr>
              <w:t>WhatsApp Business Platform</w:t>
            </w:r>
          </w:p>
        </w:tc>
        <w:tc>
          <w:tcPr>
            <w:tcW w:type="dxa" w:w="2469"/>
            <w:vAlign w:val="center"/>
          </w:tcPr>
          <w:p>
            <w:r>
              <w:rPr>
                <w:b w:val="0"/>
                <w:i w:val="0"/>
                <w:sz w:val="16"/>
              </w:rPr>
              <w:t>Irland (EU)</w:t>
            </w:r>
          </w:p>
        </w:tc>
        <w:tc>
          <w:tcPr>
            <w:tcW w:type="dxa" w:w="2469"/>
            <w:vAlign w:val="center"/>
          </w:tcPr>
          <w:p>
            <w:r>
              <w:rPr>
                <w:b w:val="0"/>
                <w:i w:val="0"/>
                <w:sz w:val="16"/>
              </w:rPr>
              <w:t>ggf. EU-US DPF über Meta Platforms, Inc.</w:t>
            </w:r>
          </w:p>
        </w:tc>
      </w:tr>
      <w:tr>
        <w:tc>
          <w:tcPr>
            <w:tcW w:type="dxa" w:w="2469"/>
            <w:vAlign w:val="center"/>
          </w:tcPr>
          <w:p>
            <w:r>
              <w:rPr>
                <w:b w:val="0"/>
                <w:i w:val="0"/>
                <w:sz w:val="16"/>
              </w:rPr>
              <w:t>OpenRouteService (HeiGIT)</w:t>
            </w:r>
          </w:p>
        </w:tc>
        <w:tc>
          <w:tcPr>
            <w:tcW w:type="dxa" w:w="2469"/>
            <w:vAlign w:val="center"/>
          </w:tcPr>
          <w:p>
            <w:r>
              <w:rPr>
                <w:b w:val="0"/>
                <w:i w:val="0"/>
                <w:sz w:val="16"/>
              </w:rPr>
              <w:t>Optionale Routenplanung: Kundenadressen und Kartenkoordinaten, keine Namen, Telefonnummern oder Gerätestandorte</w:t>
            </w:r>
          </w:p>
        </w:tc>
        <w:tc>
          <w:tcPr>
            <w:tcW w:type="dxa" w:w="2469"/>
            <w:vAlign w:val="center"/>
          </w:tcPr>
          <w:p>
            <w:r>
              <w:rPr>
                <w:b w:val="0"/>
                <w:i w:val="0"/>
                <w:sz w:val="16"/>
              </w:rPr>
              <w:t>Deutschland</w:t>
            </w:r>
          </w:p>
        </w:tc>
        <w:tc>
          <w:tcPr>
            <w:tcW w:type="dxa" w:w="2469"/>
            <w:vAlign w:val="center"/>
          </w:tcPr>
          <w:p>
            <w:r>
              <w:rPr>
                <w:b w:val="0"/>
                <w:i w:val="0"/>
                <w:sz w:val="16"/>
              </w:rPr>
              <w:t>EU; nur bei Aktivierung durch den Betrieb</w:t>
            </w:r>
          </w:p>
        </w:tc>
      </w:tr>
      <w:tr>
        <w:tc>
          <w:tcPr>
            <w:tcW w:type="dxa" w:w="2469"/>
            <w:vAlign w:val="center"/>
          </w:tcPr>
          <w:p>
            <w:r>
              <w:rPr>
                <w:b w:val="0"/>
                <w:i w:val="0"/>
                <w:sz w:val="16"/>
              </w:rPr>
              <w:t>Enable Banking</w:t>
            </w:r>
          </w:p>
        </w:tc>
        <w:tc>
          <w:tcPr>
            <w:tcW w:type="dxa" w:w="2469"/>
            <w:vAlign w:val="center"/>
          </w:tcPr>
          <w:p>
            <w:r>
              <w:rPr>
                <w:b w:val="0"/>
                <w:i w:val="0"/>
                <w:sz w:val="16"/>
              </w:rPr>
              <w:t>Live-Bankverbindung; noch nicht aktiv, erst ab Aktivierung</w:t>
            </w:r>
          </w:p>
        </w:tc>
        <w:tc>
          <w:tcPr>
            <w:tcW w:type="dxa" w:w="2469"/>
            <w:vAlign w:val="center"/>
          </w:tcPr>
          <w:p>
            <w:r>
              <w:rPr>
                <w:b w:val="0"/>
                <w:i w:val="0"/>
                <w:sz w:val="16"/>
              </w:rPr>
              <w:t>Finnland</w:t>
            </w:r>
          </w:p>
        </w:tc>
        <w:tc>
          <w:tcPr>
            <w:tcW w:type="dxa" w:w="2469"/>
            <w:vAlign w:val="center"/>
          </w:tcPr>
          <w:p>
            <w:r>
              <w:rPr>
                <w:b w:val="0"/>
                <w:i w:val="0"/>
                <w:sz w:val="16"/>
              </w:rPr>
              <w:t>EU</w:t>
            </w:r>
          </w:p>
        </w:tc>
      </w:tr>
      <w:tr>
        <w:tc>
          <w:tcPr>
            <w:tcW w:type="dxa" w:w="2469"/>
            <w:vAlign w:val="center"/>
          </w:tcPr>
          <w:p>
            <w:r>
              <w:rPr>
                <w:b w:val="0"/>
                <w:i w:val="0"/>
                <w:sz w:val="16"/>
              </w:rPr>
              <w:t>Twilio (US-Unternehmen)</w:t>
            </w:r>
          </w:p>
        </w:tc>
        <w:tc>
          <w:tcPr>
            <w:tcW w:type="dxa" w:w="2469"/>
            <w:vAlign w:val="center"/>
          </w:tcPr>
          <w:p>
            <w:r>
              <w:rPr>
                <w:b w:val="0"/>
                <w:i w:val="0"/>
                <w:sz w:val="16"/>
              </w:rPr>
              <w:t>Anrufe und SMS, Telefonnummern, Anrufzeiten und SMS-Inhalte; noch nicht aktiv, erst ab Aktivierung</w:t>
            </w:r>
          </w:p>
        </w:tc>
        <w:tc>
          <w:tcPr>
            <w:tcW w:type="dxa" w:w="2469"/>
            <w:vAlign w:val="center"/>
          </w:tcPr>
          <w:p>
            <w:r>
              <w:rPr>
                <w:b w:val="0"/>
                <w:i w:val="0"/>
                <w:sz w:val="16"/>
              </w:rPr>
              <w:t>Irland; Verarbeitung in den USA möglich</w:t>
            </w:r>
          </w:p>
        </w:tc>
        <w:tc>
          <w:tcPr>
            <w:tcW w:type="dxa" w:w="2469"/>
            <w:vAlign w:val="center"/>
          </w:tcPr>
          <w:p>
            <w:r>
              <w:rPr>
                <w:b w:val="0"/>
                <w:i w:val="0"/>
                <w:sz w:val="16"/>
              </w:rPr>
              <w:t>DPA / EU-Standardvertragsklauseln</w:t>
            </w:r>
          </w:p>
        </w:tc>
      </w:tr>
      <w:tr>
        <w:tc>
          <w:tcPr>
            <w:tcW w:type="dxa" w:w="2469"/>
            <w:vAlign w:val="center"/>
          </w:tcPr>
          <w:p>
            <w:r>
              <w:rPr>
                <w:b w:val="0"/>
                <w:i w:val="0"/>
                <w:sz w:val="16"/>
              </w:rPr>
              <w:t>Netlify, Inc.</w:t>
            </w:r>
          </w:p>
        </w:tc>
        <w:tc>
          <w:tcPr>
            <w:tcW w:type="dxa" w:w="2469"/>
            <w:vAlign w:val="center"/>
          </w:tcPr>
          <w:p>
            <w:r>
              <w:rPr>
                <w:b w:val="0"/>
                <w:i w:val="0"/>
                <w:sz w:val="16"/>
              </w:rPr>
              <w:t>Website-Hosting, Auslieferung und serverseitige Webstatistik</w:t>
            </w:r>
          </w:p>
        </w:tc>
        <w:tc>
          <w:tcPr>
            <w:tcW w:type="dxa" w:w="2469"/>
            <w:vAlign w:val="center"/>
          </w:tcPr>
          <w:p>
            <w:r>
              <w:rPr>
                <w:b w:val="0"/>
                <w:i w:val="0"/>
                <w:sz w:val="16"/>
              </w:rPr>
              <w:t>USA / global</w:t>
            </w:r>
          </w:p>
        </w:tc>
        <w:tc>
          <w:tcPr>
            <w:tcW w:type="dxa" w:w="2469"/>
            <w:vAlign w:val="center"/>
          </w:tcPr>
          <w:p>
            <w:r>
              <w:rPr>
                <w:b w:val="0"/>
                <w:i w:val="0"/>
                <w:sz w:val="16"/>
              </w:rPr>
              <w:t>DPF bzw. SCC; siehe Abschnitt 13</w:t>
            </w:r>
          </w:p>
        </w:tc>
      </w:tr>
      <w:tr>
        <w:tc>
          <w:tcPr>
            <w:tcW w:type="dxa" w:w="2469"/>
            <w:vAlign w:val="center"/>
          </w:tcPr>
          <w:p>
            <w:r>
              <w:rPr>
                <w:b w:val="0"/>
                <w:i w:val="0"/>
                <w:sz w:val="16"/>
              </w:rPr>
              <w:t>GoDaddy</w:t>
            </w:r>
          </w:p>
        </w:tc>
        <w:tc>
          <w:tcPr>
            <w:tcW w:type="dxa" w:w="2469"/>
            <w:vAlign w:val="center"/>
          </w:tcPr>
          <w:p>
            <w:r>
              <w:rPr>
                <w:b w:val="0"/>
                <w:i w:val="0"/>
                <w:sz w:val="16"/>
              </w:rPr>
              <w:t>Domainregistrierung und Domainverwaltung (kein Website-Hosting)</w:t>
            </w:r>
          </w:p>
        </w:tc>
        <w:tc>
          <w:tcPr>
            <w:tcW w:type="dxa" w:w="2469"/>
            <w:vAlign w:val="center"/>
          </w:tcPr>
          <w:p>
            <w:r>
              <w:rPr>
                <w:b w:val="0"/>
                <w:i w:val="0"/>
                <w:sz w:val="16"/>
              </w:rPr>
              <w:t>Domainanbieter</w:t>
            </w:r>
          </w:p>
        </w:tc>
        <w:tc>
          <w:tcPr>
            <w:tcW w:type="dxa" w:w="2469"/>
            <w:vAlign w:val="center"/>
          </w:tcPr>
          <w:p>
            <w:r>
              <w:rPr>
                <w:b w:val="0"/>
                <w:i w:val="0"/>
                <w:sz w:val="16"/>
              </w:rPr>
              <w:t>siehe Abschnitt 13</w:t>
            </w:r>
          </w:p>
        </w:tc>
      </w:tr>
    </w:tbl>
    <w:p/>
    <w:p>
      <w:r>
        <w:rPr>
          <w:b w:val="0"/>
          <w:i w:val="0"/>
        </w:rPr>
        <w:t>Änderungen an den Unterauftragsverarbeitern teilt der Auftragnehmer den Kundenbetrieben vorab mit.</w:t>
      </w:r>
    </w:p>
    <w:p>
      <w:r>
        <w:rPr>
          <w:b w:val="0"/>
          <w:i w:val="0"/>
        </w:rPr>
        <w:t>Zusätzliche, nur nach Freischaltung eingesetzte Zahlungsdienstleister: Stripe Payments Europe Ltd. (Irland) und Adyen N.V. (Niederlande) für gehostete Zahlungsseiten. Necesso speichert dabei nach der vorliegenden Beschreibung nur Status, Beträge, Gebühren und Auszahlungen, keine Karteninformationen.</w:t>
      </w:r>
    </w:p>
    <w:p>
      <w:pPr>
        <w:pStyle w:val="Heading1"/>
      </w:pPr>
      <w:r>
        <w:rPr>
          <w:b w:val="0"/>
          <w:i w:val="0"/>
        </w:rPr>
        <w:t>13. Organisatorische Maßnahmen</w:t>
      </w:r>
    </w:p>
    <w:p>
      <w:r>
        <w:rPr>
          <w:b w:val="0"/>
          <w:i w:val="0"/>
        </w:rPr>
        <w:t>Die bereitgestellte Anlage dokumentiert Rechteprüfungen, automatisierte Sicherheitstests, Integritätsprüfungen, Monitoring, Abhängigkeits-Scans und Wiederherstellungsproben. Ebenso dokumentiert sie ein Incident-Response-Verfahren, dessen praktische Erprobung noch aussteht. Ein übergreifendes schriftliches Sicherheitsregelwerk und Risikoregister, ein dokumentierter unabhängiger Penetrationstest sowie eine unabhängige Zertifizierung sind noch nicht nachgewiesen. 24/7-Rufbereitschaft, ein separater Standby-Server und garantierte Wiederherstellungszeiten sind nicht zugesagt.</w:t>
      </w:r>
    </w:p>
    <w:p>
      <w:pPr>
        <w:pStyle w:val="Heading1"/>
      </w:pPr>
      <w:r>
        <w:rPr>
          <w:b w:val="0"/>
          <w:i w:val="0"/>
        </w:rPr>
        <w:t>14. Geltungsbereich und Grenzen der Darstellung</w:t>
      </w:r>
    </w:p>
    <w:p>
      <w:r>
        <w:rPr>
          <w:b w:val="0"/>
          <w:i w:val="0"/>
        </w:rPr>
        <w:t>Stand der zugrunde liegenden technischen Beschreibung: 29. Oktober 2026. Diese Übersicht beschreibt die veröffentlichten technischen und organisatorischen Maßnahmen. Sie stellt weder eine unabhängige Penetrationstest-Bescheinigung noch eine Zertifizierung dar. Historische Offsite-Backups haben nach der dokumentierten Architektur keine feste Löschfrist; eine garantierte Wiederherstellungszeit oder 24/7-Rufbereitschaft wird nicht zugesagt. Informationen zu den vertraglich vereinbarten Datenschutzgarantien und zum kundenspezifischen AVV sind unter office@necesso.ai erhältlich.</w:t>
      </w:r>
    </w:p>
    <w:p>
      <w:r>
        <w:rPr>
          <w:b w:val="0"/>
          <w:i w:val="0"/>
        </w:rPr>
        <w:t>Zurück nach oben ↑</w:t>
      </w:r>
    </w:p>
    <w:p>
      <w:pPr>
        <w:pStyle w:val="Title"/>
        <w:pageBreakBefore/>
      </w:pPr>
      <w:r>
        <w:t>Allgemeine Geschäftsbedingungen</w:t>
      </w:r>
    </w:p>
    <w:p>
      <w:r>
        <w:rPr>
          <w:b/>
          <w:color w:val="426E44"/>
          <w:sz w:val="16"/>
        </w:rPr>
        <w:t>GERMAN / DEUTSCH</w:t>
      </w:r>
    </w:p>
    <w:p>
      <w:pPr>
        <w:pStyle w:val="Heading1"/>
      </w:pPr>
      <w:r>
        <w:rPr>
          <w:b w:val="0"/>
          <w:i w:val="0"/>
        </w:rPr>
        <w:t>1. Geltungsbereich und Vertragsschluss</w:t>
      </w:r>
    </w:p>
    <w:p>
      <w:r>
        <w:rPr>
          <w:b/>
          <w:i w:val="0"/>
        </w:rPr>
        <w:t>1.1</w:t>
      </w:r>
      <w:r>
        <w:rPr>
          <w:b w:val="0"/>
          <w:i w:val="0"/>
        </w:rPr>
        <w:t xml:space="preserve"> Diese Allgemeinen Geschäftsbedingungen (AGB) gelten für alle Verträge zwischen der CONCEPTS Gabriela Prett-Preza KG, Illekgasse 8/16, 1150 Wien, FN 462437f („Auftragnehmer”), und ihren Kunden („Kunde”) über die Plattform Necesso sowie damit verbundene Leistungen. Sie gelten auch für künftige Leistungen, selbst wenn nicht erneut auf sie verwiesen wird.</w:t>
      </w:r>
    </w:p>
    <w:p>
      <w:r>
        <w:rPr>
          <w:b/>
          <w:i w:val="0"/>
        </w:rPr>
        <w:t>1.2</w:t>
      </w:r>
      <w:r>
        <w:rPr>
          <w:b w:val="0"/>
          <w:i w:val="0"/>
        </w:rPr>
        <w:t xml:space="preserve"> Die AGB gelten ausschließlich gegenüber Unternehmern im Sinne des § 1 KSchG. Verträge mit Verbrauchern werden nicht geschlossen.</w:t>
      </w:r>
    </w:p>
    <w:p>
      <w:r>
        <w:rPr>
          <w:b/>
          <w:i w:val="0"/>
        </w:rPr>
        <w:t>1.3</w:t>
      </w:r>
      <w:r>
        <w:rPr>
          <w:b w:val="0"/>
          <w:i w:val="0"/>
        </w:rPr>
        <w:t xml:space="preserve"> Allgemeine Geschäftsbedingungen des Kunden gelten nicht, auch wenn der Auftragnehmer ihnen nicht ausdrücklich widerspricht.</w:t>
      </w:r>
    </w:p>
    <w:p>
      <w:r>
        <w:rPr>
          <w:b/>
          <w:i w:val="0"/>
        </w:rPr>
        <w:t>1.4</w:t>
      </w:r>
      <w:r>
        <w:rPr>
          <w:b w:val="0"/>
          <w:i w:val="0"/>
        </w:rPr>
        <w:t xml:space="preserve"> Angebote des Auftragnehmers sind unverbindlich. Ein Vertrag kommt durch schriftliche Auftragsbestätigung des Auftragnehmers, durch Abschluss im Online-Bestellprozess oder durch Beginn der Leistungserbringung zustande. Maßgeblich ist der Inhalt des Angebots bzw. der Auftragsbestätigung.</w:t>
      </w:r>
    </w:p>
    <w:p>
      <w:pPr>
        <w:pStyle w:val="Heading1"/>
      </w:pPr>
      <w:r>
        <w:rPr>
          <w:b w:val="0"/>
          <w:i w:val="0"/>
        </w:rPr>
        <w:t>2. Begriffe</w:t>
      </w:r>
    </w:p>
    <w:p>
      <w:pPr>
        <w:pStyle w:val="ListBullet"/>
      </w:pPr>
      <w:r>
        <w:rPr>
          <w:b/>
          <w:i w:val="0"/>
        </w:rPr>
        <w:t>Plattform:</w:t>
      </w:r>
      <w:r>
        <w:rPr>
          <w:b w:val="0"/>
          <w:i w:val="0"/>
        </w:rPr>
        <w:t xml:space="preserve"> die Software Necesso, die der Auftragnehmer als Online-Dienst (Software as a Service) über Web und mobile Apps bereitstellt.</w:t>
      </w:r>
    </w:p>
    <w:p>
      <w:pPr>
        <w:pStyle w:val="ListBullet"/>
      </w:pPr>
      <w:r>
        <w:rPr>
          <w:b/>
          <w:i w:val="0"/>
        </w:rPr>
        <w:t>Nutzer:</w:t>
      </w:r>
      <w:r>
        <w:rPr>
          <w:b w:val="0"/>
          <w:i w:val="0"/>
        </w:rPr>
        <w:t xml:space="preserve"> natürliche Personen, die der Kunde zur Nutzung der Plattform berechtigt.</w:t>
      </w:r>
    </w:p>
    <w:p>
      <w:pPr>
        <w:pStyle w:val="ListBullet"/>
      </w:pPr>
      <w:r>
        <w:rPr>
          <w:b/>
          <w:i w:val="0"/>
        </w:rPr>
        <w:t>Kundendaten:</w:t>
      </w:r>
      <w:r>
        <w:rPr>
          <w:b w:val="0"/>
          <w:i w:val="0"/>
        </w:rPr>
        <w:t xml:space="preserve"> alle Daten, die der Kunde oder seine Nutzer in die Plattform einbringen oder die dort für den Kunden entstehen, einschließlich Daten seiner Kontakte.</w:t>
      </w:r>
    </w:p>
    <w:p>
      <w:pPr>
        <w:pStyle w:val="ListBullet"/>
      </w:pPr>
      <w:r>
        <w:rPr>
          <w:b/>
          <w:i w:val="0"/>
        </w:rPr>
        <w:t>Individualleistungen:</w:t>
      </w:r>
      <w:r>
        <w:rPr>
          <w:b w:val="0"/>
          <w:i w:val="0"/>
        </w:rPr>
        <w:t xml:space="preserve"> auf den Kunden zugeschnittene Leistungen wie Konzeption, Anpassung, Programmierung, Einrichtung, Schulung und Beratung.</w:t>
      </w:r>
    </w:p>
    <w:p>
      <w:pPr>
        <w:pStyle w:val="Heading1"/>
      </w:pPr>
      <w:r>
        <w:rPr>
          <w:b w:val="0"/>
          <w:i w:val="0"/>
        </w:rPr>
        <w:t>3. Leistungen</w:t>
      </w:r>
    </w:p>
    <w:p>
      <w:r>
        <w:rPr>
          <w:b/>
          <w:i w:val="0"/>
        </w:rPr>
        <w:t>3.1</w:t>
      </w:r>
      <w:r>
        <w:rPr>
          <w:b w:val="0"/>
          <w:i w:val="0"/>
        </w:rPr>
        <w:t xml:space="preserve"> Der Auftragnehmer stellt dem Kunden die Plattform im Umfang des gewählten Pakets für die Vertragslaufzeit zur Nutzung bereit. Der Leistungsumfang ergibt sich aus dem Angebot und der jeweils aktuellen Leistungsbeschreibung.</w:t>
      </w:r>
    </w:p>
    <w:p>
      <w:r>
        <w:rPr>
          <w:b/>
          <w:i w:val="0"/>
        </w:rPr>
        <w:t>3.2</w:t>
      </w:r>
      <w:r>
        <w:rPr>
          <w:b w:val="0"/>
          <w:i w:val="0"/>
        </w:rPr>
        <w:t xml:space="preserve"> Die Plattform umfasst insbesondere: Verwaltung von Anfragen, Aufträgen und Kontakten, KI-Assistenten (Ziffer 7), WhatsApp-Anbindung, Anrufaufzeichnung und Transkription (Ziffer 8) sowie Bankanbindung (Ziffer 9), soweit im Paket enthalten.</w:t>
      </w:r>
    </w:p>
    <w:p>
      <w:r>
        <w:rPr>
          <w:b/>
          <w:i w:val="0"/>
        </w:rPr>
        <w:t>3.3</w:t>
      </w:r>
      <w:r>
        <w:rPr>
          <w:b w:val="0"/>
          <w:i w:val="0"/>
        </w:rPr>
        <w:t xml:space="preserve"> Der Auftragnehmer entwickelt die Plattform laufend weiter und darf sie ändern, sofern der vereinbarte Leistungsumfang nicht wesentlich eingeschränkt wird. Wesentliche Änderungen kündigt er mindestens 30 Tage vorher an.</w:t>
      </w:r>
    </w:p>
    <w:p>
      <w:r>
        <w:rPr>
          <w:b/>
          <w:i w:val="0"/>
        </w:rPr>
        <w:t>3.4</w:t>
      </w:r>
      <w:r>
        <w:rPr>
          <w:b w:val="0"/>
          <w:i w:val="0"/>
        </w:rPr>
        <w:t xml:space="preserve"> Individualleistungen werden nur erbracht, wenn sie gesondert vereinbart sind. Es gilt Ziffer 11.</w:t>
      </w:r>
    </w:p>
    <w:p>
      <w:r>
        <w:rPr>
          <w:b/>
          <w:i w:val="0"/>
        </w:rPr>
        <w:t>3.5</w:t>
      </w:r>
      <w:r>
        <w:rPr>
          <w:b w:val="0"/>
          <w:i w:val="0"/>
        </w:rPr>
        <w:t xml:space="preserve"> Eine barrierefreie Gestaltung im Sinne des BGStG, WZG oder BaFG ist nur geschuldet, wenn sie ausdrücklich vereinbart ist.</w:t>
      </w:r>
    </w:p>
    <w:p>
      <w:r>
        <w:rPr>
          <w:b/>
          <w:i w:val="0"/>
        </w:rPr>
        <w:t>3.6</w:t>
      </w:r>
      <w:r>
        <w:rPr>
          <w:b w:val="0"/>
          <w:i w:val="0"/>
        </w:rPr>
        <w:t xml:space="preserve"> Der Auftragnehmer darf zur Leistungserbringung Dritte (Subunternehmer und Unterauftragsverarbeiter) einsetzen. Für Unterauftragsverarbeiter gilt der Auftragsverarbeitungsvertrag (Ziffer 6).</w:t>
      </w:r>
    </w:p>
    <w:p>
      <w:r>
        <w:rPr>
          <w:b/>
          <w:i w:val="0"/>
        </w:rPr>
        <w:t xml:space="preserve">Optionale Anbindungen: </w:t>
      </w:r>
      <w:r>
        <w:rPr>
          <w:b w:val="0"/>
          <w:i w:val="0"/>
        </w:rPr>
        <w:t>Eine Live-Bankverbindung über Enable Banking sowie Anrufe und SMS über Twilio stehen erst ab gesonderter Aktivierung zur Verfügung. Der Zahlungsabgleich per importierter Kontoauszugsdatei ist davon getrennt. Zahlungsanbieter (Stripe/Adyen) und Buchhaltungs- beziehungsweise Großhandels-Schnittstellen werden hier ohne bestätigte Anbindung nicht als aktive Anbieter bezeichnet.</w:t>
      </w:r>
    </w:p>
    <w:p>
      <w:pPr>
        <w:pStyle w:val="Heading1"/>
      </w:pPr>
      <w:r>
        <w:rPr>
          <w:b w:val="0"/>
          <w:i w:val="0"/>
        </w:rPr>
        <w:t>4. Verfügbarkeit, Wartung und Support</w:t>
      </w:r>
    </w:p>
    <w:p>
      <w:r>
        <w:rPr>
          <w:b/>
          <w:i w:val="0"/>
        </w:rPr>
        <w:t>4.1</w:t>
      </w:r>
      <w:r>
        <w:rPr>
          <w:b w:val="0"/>
          <w:i w:val="0"/>
        </w:rPr>
        <w:t xml:space="preserve"> Der Auftragnehmer bemüht sich um eine möglichst unterbrechungsfreie Verfügbarkeit der Plattform. Eine bestimmte Verfügbarkeit ist nur geschuldet, wenn sie im Angebot oder in einem Service Level Agreement (SLA) ausdrücklich vereinbart ist.</w:t>
      </w:r>
    </w:p>
    <w:p>
      <w:r>
        <w:rPr>
          <w:b/>
          <w:i w:val="0"/>
        </w:rPr>
        <w:t>4.2</w:t>
      </w:r>
      <w:r>
        <w:rPr>
          <w:b w:val="0"/>
          <w:i w:val="0"/>
        </w:rPr>
        <w:t xml:space="preserve"> Wartungsarbeiten führt der Auftragnehmer nach Möglichkeit außerhalb der üblichen Geschäftszeiten durch und kündigt geplante Unterbrechungen rechtzeitig an.</w:t>
      </w:r>
    </w:p>
    <w:p>
      <w:r>
        <w:rPr>
          <w:b/>
          <w:i w:val="0"/>
        </w:rPr>
        <w:t>4.3</w:t>
      </w:r>
      <w:r>
        <w:rPr>
          <w:b w:val="0"/>
          <w:i w:val="0"/>
        </w:rPr>
        <w:t xml:space="preserve"> Nicht in der Verantwortung des Auftragnehmers liegen Störungen der Internetverbindung des Kunden, der Telekommunikationsnetze sowie der Dienste Dritter, insbesondere von Meta (WhatsApp), Banken und Kontoinformationsdiensten.</w:t>
      </w:r>
    </w:p>
    <w:p>
      <w:r>
        <w:rPr>
          <w:b w:val="0"/>
          <w:i w:val="0"/>
        </w:rPr>
        <w:t xml:space="preserve">4.4 Support erfolgt per E-Mail an </w:t>
      </w:r>
      <w:r>
        <w:rPr>
          <w:b w:val="0"/>
          <w:i w:val="0"/>
        </w:rPr>
        <w:t>office@necesso.ai</w:t>
      </w:r>
      <w:r>
        <w:rPr>
          <w:b w:val="0"/>
          <w:i w:val="0"/>
        </w:rPr>
        <w:t xml:space="preserve"> während der Geschäftszeiten des Auftragnehmers. Der Auftragnehmer reagiert innerhalb angemessener Zeit. Weitergehende Reaktionszeiten gelten nur, wenn sie vereinbart sind.</w:t>
      </w:r>
    </w:p>
    <w:p>
      <w:pPr>
        <w:pStyle w:val="Heading1"/>
      </w:pPr>
      <w:r>
        <w:rPr>
          <w:b w:val="0"/>
          <w:i w:val="0"/>
        </w:rPr>
        <w:t>5. Pflichten des Kunden</w:t>
      </w:r>
    </w:p>
    <w:p>
      <w:r>
        <w:rPr>
          <w:b/>
          <w:i w:val="0"/>
        </w:rPr>
        <w:t>5.1</w:t>
      </w:r>
      <w:r>
        <w:rPr>
          <w:b w:val="0"/>
          <w:i w:val="0"/>
        </w:rPr>
        <w:t xml:space="preserve"> Der Kunde hält Zugangsdaten geheim, schützt sie vor unbefugtem Zugriff und informiert den Auftragnehmer unverzüglich bei Verdacht auf Missbrauch.</w:t>
      </w:r>
    </w:p>
    <w:p>
      <w:r>
        <w:rPr>
          <w:b/>
          <w:i w:val="0"/>
        </w:rPr>
        <w:t>5.2</w:t>
      </w:r>
      <w:r>
        <w:rPr>
          <w:b w:val="0"/>
          <w:i w:val="0"/>
        </w:rPr>
        <w:t xml:space="preserve"> Der Kunde ist für die Kundendaten und deren Rechtmäßigkeit verantwortlich. Er speichert keine Inhalte, die gegen Gesetze, behördliche Anordnungen oder Rechte Dritter verstoßen, und prüft hochgeladene Dateien nach dem Stand der Technik auf Schadsoftware.</w:t>
      </w:r>
    </w:p>
    <w:p>
      <w:r>
        <w:rPr>
          <w:b/>
          <w:i w:val="0"/>
        </w:rPr>
        <w:t>5.3</w:t>
      </w:r>
      <w:r>
        <w:rPr>
          <w:b w:val="0"/>
          <w:i w:val="0"/>
        </w:rPr>
        <w:t xml:space="preserve"> Der Kunde informiert seine Kontakte über die Verarbeitung ihrer Daten in der Plattform, soweit er dazu als Verantwortlicher verpflichtet ist.</w:t>
      </w:r>
    </w:p>
    <w:p>
      <w:r>
        <w:rPr>
          <w:b/>
          <w:i w:val="0"/>
        </w:rPr>
        <w:t>5.4</w:t>
      </w:r>
      <w:r>
        <w:rPr>
          <w:b w:val="0"/>
          <w:i w:val="0"/>
        </w:rPr>
        <w:t xml:space="preserve"> Der Kunde wirkt an der Leistungserbringung mit, stellt nötige Informationen rechtzeitig und vollständig bereit und benennt eine Ansprechperson. Verzögerungen und Mehrkosten aus fehlender Mitwirkung gehen zu seinen Lasten.</w:t>
      </w:r>
    </w:p>
    <w:p>
      <w:r>
        <w:rPr>
          <w:b/>
          <w:i w:val="0"/>
        </w:rPr>
        <w:t>5.5</w:t>
      </w:r>
      <w:r>
        <w:rPr>
          <w:b w:val="0"/>
          <w:i w:val="0"/>
        </w:rPr>
        <w:t xml:space="preserve"> Der Kunde nutzt die Plattform nur für eigene geschäftliche Zwecke. Er darf sie nicht Dritten überlassen, nicht zur Versendung unerwünschter Werbung nutzen und nicht versuchen, Sicherheitsmechanismen zu umgehen.</w:t>
      </w:r>
    </w:p>
    <w:p>
      <w:pPr>
        <w:pStyle w:val="Heading1"/>
      </w:pPr>
      <w:r>
        <w:rPr>
          <w:b w:val="0"/>
          <w:i w:val="0"/>
        </w:rPr>
        <w:t>6. Datenschutz und Auftragsverarbeitung</w:t>
      </w:r>
    </w:p>
    <w:p>
      <w:r>
        <w:rPr>
          <w:b/>
          <w:i w:val="0"/>
        </w:rPr>
        <w:t>6.1</w:t>
      </w:r>
      <w:r>
        <w:rPr>
          <w:b w:val="0"/>
          <w:i w:val="0"/>
        </w:rPr>
        <w:t xml:space="preserve"> Soweit der Auftragnehmer personenbezogene Daten im Auftrag des Kunden verarbeitet, handelt er als Auftragsverarbeiter im Sinne von Art. 28 DSGVO. Die Parteien schließen einen Auftragsverarbeitungsvertrag (AVV), der Bestandteil dieses Vertrags ist. Die aktuelle Liste der Unterauftragsverarbeiter ist im AVV enthalten.</w:t>
      </w:r>
    </w:p>
    <w:p>
      <w:r>
        <w:rPr>
          <w:b/>
          <w:i w:val="0"/>
        </w:rPr>
        <w:t>6.2</w:t>
      </w:r>
      <w:r>
        <w:rPr>
          <w:b w:val="0"/>
          <w:i w:val="0"/>
        </w:rPr>
        <w:t xml:space="preserve"> Für Daten, für die der Auftragnehmer selbst Verantwortlicher ist, gilt seine Datenschutzerklärung unter </w:t>
      </w:r>
      <w:r>
        <w:rPr>
          <w:b w:val="0"/>
          <w:i w:val="0"/>
        </w:rPr>
        <w:t>necesso.ai/datenschutz</w:t>
      </w:r>
      <w:r>
        <w:rPr>
          <w:b w:val="0"/>
          <w:i w:val="0"/>
        </w:rPr>
        <w:t>.</w:t>
      </w:r>
    </w:p>
    <w:p>
      <w:r>
        <w:rPr>
          <w:b/>
          <w:i w:val="0"/>
        </w:rPr>
        <w:t>6.3 Datenstandort:</w:t>
      </w:r>
      <w:r>
        <w:rPr>
          <w:b w:val="0"/>
          <w:i w:val="0"/>
        </w:rPr>
        <w:t xml:space="preserve"> Plattformdaten werden auf Servern der Hetzner Online GmbH in Deutschland gespeichert. Nächtliche Backups werden am Server 14 Tage aufbewahrt; ältere Kopien in einer getrennten Hetzner Storage Box und bei Scaleway in Paris bleiben nach dem dokumentierten Stand ohne Ablaufdatum gespeichert. Die Sicherungskopien werden nach der technischen Dokumentation von Necesso selbst mit AES-256 verschlüsselt, bevor sie den Server verlassen. Die Schlüssel werden getrennt verwahrt. Kundenbetriebe sind logisch getrennt. Eine eigene Vollverschlüsselung der primären Serverdatenträger und eine festgelegte Löschfrist für historische Offsite-Backups sind nicht dokumentiert. Für KI-Verarbeitung gelten Ziffer 7 und die Datenschutzerklärung.</w:t>
      </w:r>
    </w:p>
    <w:p>
      <w:r>
        <w:rPr>
          <w:b w:val="0"/>
          <w:i w:val="0"/>
        </w:rPr>
        <w:t>6.4 Übermittlung außerhalb des EWR: Bei Übermittlungen an Anthropic außerhalb des EWR werden Kundendaten vorab durch Platzhalter pseudonymisiert. Anfragespezifische Zuordnungen verbleiben während der Anfrage im Arbeitsspeicher auf EU-Servern; die Übermittlung erfolgt unter den anwendbaren Übermittlungsgrundlagen nach Art. 44 ff. DSGVO und den jeweils einschlägigen Anbietervereinbarungen. Bei aktivierter Telefonie bzw. SMS über Twilio können Daten im Rahmen der Twilio-Vertragsbedingungen und Standardvertragsklauseln auch in den USA verarbeitet werden. Bei der WhatsApp-Anbindung gelten die Bedingungen von Meta. Mistral verarbeitet bestimmte personenbezogene Daten über den EU-API-Endpunkt.</w:t>
      </w:r>
    </w:p>
    <w:p>
      <w:r>
        <w:rPr>
          <w:b/>
          <w:i w:val="0"/>
        </w:rPr>
        <w:t>6.5</w:t>
      </w:r>
      <w:r>
        <w:rPr>
          <w:b w:val="0"/>
          <w:i w:val="0"/>
        </w:rPr>
        <w:t xml:space="preserve"> Die technischen und organisatorischen Maßnahmen sind im Dokument „Datensicherheit” beschrieben und Bestandteil des AVV.</w:t>
      </w:r>
    </w:p>
    <w:p>
      <w:r>
        <w:rPr>
          <w:b/>
          <w:i w:val="0"/>
        </w:rPr>
        <w:t>6.6</w:t>
      </w:r>
      <w:r>
        <w:rPr>
          <w:b w:val="0"/>
          <w:i w:val="0"/>
        </w:rPr>
        <w:t xml:space="preserve"> Der Auftragnehmer verpflichtet seine Mitarbeiter auf das Datengeheimnis nach § 6 DSG.</w:t>
      </w:r>
    </w:p>
    <w:p>
      <w:pPr>
        <w:pStyle w:val="Heading1"/>
      </w:pPr>
      <w:r>
        <w:rPr>
          <w:b w:val="0"/>
          <w:i w:val="0"/>
        </w:rPr>
        <w:t>7. KI-Funktionen</w:t>
      </w:r>
    </w:p>
    <w:p>
      <w:r>
        <w:rPr>
          <w:b w:val="0"/>
          <w:i w:val="0"/>
        </w:rPr>
        <w:t>7.1 Die Plattform nutzt Mistral als KI-Hauptmodell, auch für Aufgaben mit personenbezogenen Daten über den EU-API-Endpunkt. Anthropic erhält ausschließlich pseudonymisierte Inhalte, nachdem direkte Identifikatoren durch Platzhalter ersetzt wurden. Plattformdaten werden bei Hetzner in Deutschland gespeichert; weitere EU-Dienstleister können personenbezogene Daten für die in der Datenschutzerklärung beschriebenen Zwecke erhalten. Für Übermittlungen an Anthropic gelten die einschlägigen Rechtsgrundlagen und vertraglichen Schutzmaßnahmen nach Art. 44 ff. DSGVO. Bei optionalen Twilio-Diensten kann es nach Aktivierung zu einer Verarbeitung in den USA kommen; siehe Ziffer 6.4. Pseudonymisierung ist keine Anonymisierung.</w:t>
      </w:r>
    </w:p>
    <w:p>
      <w:r>
        <w:rPr>
          <w:b/>
          <w:i w:val="0"/>
        </w:rPr>
        <w:t>7.2</w:t>
      </w:r>
      <w:r>
        <w:rPr>
          <w:b w:val="0"/>
          <w:i w:val="0"/>
        </w:rPr>
        <w:t xml:space="preserve"> Ergebnisse dieser Funktionen, etwa Zusammenfassungen, Antwortentwürfe, Angebote und Zahlungszuordnungen, sind Vorschläge. Der Kunde prüft sie vor der Verwendung. Der Auftragnehmer übernimmt keine Gewähr für ihre Richtigkeit oder Vollständigkeit. Entscheidungen mit rechtlicher Wirkung trifft stets ein Mensch.</w:t>
      </w:r>
    </w:p>
    <w:p>
      <w:r>
        <w:rPr>
          <w:b/>
          <w:i w:val="0"/>
        </w:rPr>
        <w:t>7.3</w:t>
      </w:r>
      <w:r>
        <w:rPr>
          <w:b w:val="0"/>
          <w:i w:val="0"/>
        </w:rPr>
        <w:t xml:space="preserve"> Die Verarbeitung richtet sich nach der Datenschutzerklärung und dem AVV; Übermittlungen außerhalb des EWR sind nur unter den Bedingungen von Ziffer 6.4 zulässig. KI-Anbieter dürfen Kundendaten nicht zum Training ihrer Modelle verwenden. Pseudonymisierung ist keine vollständige Anonymisierung.</w:t>
      </w:r>
    </w:p>
    <w:p>
      <w:r>
        <w:rPr>
          <w:b w:val="0"/>
          <w:i w:val="0"/>
        </w:rPr>
        <w:t>Technische Klarstellung (29. Oktober 2026): Der Assistent wird derzeit über den EU-Endpunkt von Mistral betrieben; die Anbieterwahl ist eine Servereinstellung. Anthropic-Aufträge von EU-Betrieben werden über das Privacy-Gateway mit Datenminimierung und anfragespezifischen Platzhaltern geprüft. Scheitert die Prüfung oder wird sie als unvollständig erkannt, erfolgt keine Übermittlung; ein nicht erkanntes personenbezogenes Merkmal kann dennoch durchgehen. Eine Übermittlung darf nur auf Grundlage eines tatsächlich einschlägigen Drittlandmechanismus nach Art. 44 ff. DSGVO stattfinden. Diese technischen Angaben ergänzen die Datenschutzerklärung und den jeweils einschlägigen AVV.</w:t>
      </w:r>
    </w:p>
    <w:p>
      <w:pPr>
        <w:pStyle w:val="Heading1"/>
      </w:pPr>
      <w:r>
        <w:rPr>
          <w:b w:val="0"/>
          <w:i w:val="0"/>
        </w:rPr>
        <w:t>8. Anrufaufzeichnung, Transkription und Nachrichten</w:t>
      </w:r>
    </w:p>
    <w:p>
      <w:r>
        <w:rPr>
          <w:b/>
          <w:i w:val="0"/>
        </w:rPr>
        <w:t>8.1</w:t>
      </w:r>
      <w:r>
        <w:rPr>
          <w:b w:val="0"/>
          <w:i w:val="0"/>
        </w:rPr>
        <w:t xml:space="preserve"> Bei aktivierter Telefonie sieht der dokumentierte technische Ablauf derzeit eine Ansage zu Aufzeichnung und Transkription zu Gesprächsbeginn und anschließend die Aufnahme vor. Die Ansage ist kein Verfahren zur ausdrücklichen Bestätigung einer Einwilligung. Der Kunde hat vor Nutzung sicherzustellen, dass Aufzeichnung und Transkription rechtmäßig erfolgen und eine erforderliche Einwilligung wirksam eingeholt wird. Vor Freischaltung sind technische Umsetzung und Rechtsgrundlage zu prüfen.</w:t>
      </w:r>
    </w:p>
    <w:p>
      <w:r>
        <w:rPr>
          <w:b/>
          <w:i w:val="0"/>
        </w:rPr>
        <w:t>8.2</w:t>
      </w:r>
      <w:r>
        <w:rPr>
          <w:b w:val="0"/>
          <w:i w:val="0"/>
        </w:rPr>
        <w:t xml:space="preserve"> Telefonanrufe und WhatsApp-Sprachnachrichten werden durch Whisper auf eigenen Servern bei Hetzner transkribiert. Diktate auf Deutsch, Englisch, Ungarisch und Türkisch werden über den Mistral-EU-Endpunkt an Voxtral übertragen. Diktate in Rumänisch und anderen Sprachen sowie bei Ausfall von Mistral werden durch Whisper bei Hetzner verarbeitet. Nach der Transkription wird der Text zur KI-Korrektur an Mistral EU gesendet. Die Textausgabe per Sprachausgabe erfolgt durch Piper auf Hetzner-Servern.</w:t>
      </w:r>
    </w:p>
    <w:p>
      <w:r>
        <w:rPr>
          <w:b/>
          <w:i w:val="0"/>
        </w:rPr>
        <w:t>8.3</w:t>
      </w:r>
      <w:r>
        <w:rPr>
          <w:b w:val="0"/>
          <w:i w:val="0"/>
        </w:rPr>
        <w:t xml:space="preserve"> Die WhatsApp-Anbindung erfolgt direkt über die WhatsApp Business Platform von Meta. Der Kunde hält die Bedingungen von Meta und das anwendbare Telekommunikationsrecht ein.</w:t>
      </w:r>
    </w:p>
    <w:p>
      <w:r>
        <w:rPr>
          <w:b/>
          <w:i w:val="0"/>
        </w:rPr>
        <w:t>8.4</w:t>
      </w:r>
      <w:r>
        <w:rPr>
          <w:b w:val="0"/>
          <w:i w:val="0"/>
        </w:rPr>
        <w:t xml:space="preserve"> Auftragsaudio und WhatsApp-Sprachnachrichten werden sieben Tage nach Vorliegen des Transkripts aus dem aktiven Speicher gelöscht, Anrufaufzeichnungen nach 14 Tagen ab Transkript. Schlägt die Transkription fehl, kann die automatische Frist ausbleiben. Transkripte bleiben bei den zugehörigen Geschäftsdaten unter Beachtung vereinbarter und gesetzlicher Aufbewahrungspflichten; eine pauschale automatische Löschung nach 90 Tagen geht aus der aktuellen technischen Dokumentation nicht hervor. Gelöschte Audiodaten können in älteren Sicherungen nach den in Datenschutzerklärung und Datensicherheitsmaßnahmen beschriebenen gesonderten Fristen weiterbestehen.</w:t>
      </w:r>
    </w:p>
    <w:p>
      <w:pPr>
        <w:pStyle w:val="Heading1"/>
      </w:pPr>
      <w:r>
        <w:rPr>
          <w:b w:val="0"/>
          <w:i w:val="0"/>
        </w:rPr>
        <w:t>9. Bankanbindung</w:t>
      </w:r>
    </w:p>
    <w:p>
      <w:r>
        <w:rPr>
          <w:b/>
          <w:i w:val="0"/>
        </w:rPr>
        <w:t>9.1</w:t>
      </w:r>
      <w:r>
        <w:rPr>
          <w:b w:val="0"/>
          <w:i w:val="0"/>
        </w:rPr>
        <w:t xml:space="preserve"> Der Abgleich von Bankbewegungen kann durch Import von Kontoauszügen (CSV bzw. Datei) erfolgen. Eine Live-Bankanbindung über Enable Banking (Finnland) steht erst ab gesonderter Aktivierung zur Verfügung und setzt die ausdrückliche Zustimmung des Kunden voraus.</w:t>
      </w:r>
    </w:p>
    <w:p>
      <w:r>
        <w:rPr>
          <w:b/>
          <w:i w:val="0"/>
        </w:rPr>
        <w:t>9.2</w:t>
      </w:r>
      <w:r>
        <w:rPr>
          <w:b w:val="0"/>
          <w:i w:val="0"/>
        </w:rPr>
        <w:t xml:space="preserve"> Online-Banking-Zugangsdaten werden nur an die Bank oder den Kontoinformationsdienst übermittelt und vom Auftragnehmer nicht gespeichert.</w:t>
      </w:r>
    </w:p>
    <w:p>
      <w:r>
        <w:rPr>
          <w:b/>
          <w:i w:val="0"/>
        </w:rPr>
        <w:t>9.3</w:t>
      </w:r>
      <w:r>
        <w:rPr>
          <w:b w:val="0"/>
          <w:i w:val="0"/>
        </w:rPr>
        <w:t xml:space="preserve"> Der Auftragnehmer haftet nicht für die Nichtverfügbarkeit oder Änderung von Bankschnittstellen oder Kontoinformationsdiensten.</w:t>
      </w:r>
    </w:p>
    <w:p>
      <w:pPr>
        <w:pStyle w:val="Heading1"/>
      </w:pPr>
      <w:r>
        <w:rPr>
          <w:b w:val="0"/>
          <w:i w:val="0"/>
        </w:rPr>
        <w:t>10. Nutzungsrechte</w:t>
      </w:r>
    </w:p>
    <w:p>
      <w:r>
        <w:rPr>
          <w:b/>
          <w:i w:val="0"/>
        </w:rPr>
        <w:t>10.1</w:t>
      </w:r>
      <w:r>
        <w:rPr>
          <w:b w:val="0"/>
          <w:i w:val="0"/>
        </w:rPr>
        <w:t xml:space="preserve"> Der Kunde erhält für die Vertragslaufzeit ein nicht ausschließliches, nicht übertragbares und nicht unterlizenzierbares Recht, die Plattform im Umfang der erworbenen Nutzerlizenzen für eigene geschäftliche Zwecke zu nutzen.</w:t>
      </w:r>
    </w:p>
    <w:p>
      <w:r>
        <w:rPr>
          <w:b/>
          <w:i w:val="0"/>
        </w:rPr>
        <w:t>10.2</w:t>
      </w:r>
      <w:r>
        <w:rPr>
          <w:b w:val="0"/>
          <w:i w:val="0"/>
        </w:rPr>
        <w:t xml:space="preserve"> Alle Rechte an der Plattform, der Dokumentation und an Arbeitsergebnissen verbleiben beim Auftragnehmer oder seinen Lizenzgebern, soweit nichts anderes vereinbart ist. Die Mitwirkung des Kunden begründet keine Miturheberschaft.</w:t>
      </w:r>
    </w:p>
    <w:p>
      <w:r>
        <w:rPr>
          <w:b/>
          <w:i w:val="0"/>
        </w:rPr>
        <w:t>10.3</w:t>
      </w:r>
      <w:r>
        <w:rPr>
          <w:b w:val="0"/>
          <w:i w:val="0"/>
        </w:rPr>
        <w:t xml:space="preserve"> An Individualleistungen erhält der Kunde nach vollständiger Bezahlung ein nicht ausschließliches, zeitlich unbeschränktes Recht zur Nutzung für eigene interne Zwecke. Ausschließliche Rechte und die Übergabe des Quellcodes erfordern eine gesonderte Vereinbarung.</w:t>
      </w:r>
    </w:p>
    <w:p>
      <w:r>
        <w:rPr>
          <w:b/>
          <w:i w:val="0"/>
        </w:rPr>
        <w:t>10.4</w:t>
      </w:r>
      <w:r>
        <w:rPr>
          <w:b w:val="0"/>
          <w:i w:val="0"/>
        </w:rPr>
        <w:t xml:space="preserve"> Für Software Dritter gelten deren Lizenzbedingungen vorrangig. Die Rechte des Kunden nach §§ 40d und 40e UrhG bleiben unberührt.</w:t>
      </w:r>
    </w:p>
    <w:p>
      <w:r>
        <w:rPr>
          <w:b/>
          <w:i w:val="0"/>
        </w:rPr>
        <w:t>10.5</w:t>
      </w:r>
      <w:r>
        <w:rPr>
          <w:b w:val="0"/>
          <w:i w:val="0"/>
        </w:rPr>
        <w:t xml:space="preserve"> Kundendaten bleiben Eigentum des Kunden. Der Auftragnehmer nutzt sie nur zur Vertragserfüllung.</w:t>
      </w:r>
    </w:p>
    <w:p>
      <w:pPr>
        <w:pStyle w:val="Heading1"/>
      </w:pPr>
      <w:r>
        <w:rPr>
          <w:b w:val="0"/>
          <w:i w:val="0"/>
        </w:rPr>
        <w:t>11. Individualleistungen und Abnahme</w:t>
      </w:r>
    </w:p>
    <w:p>
      <w:r>
        <w:rPr>
          <w:b/>
          <w:i w:val="0"/>
        </w:rPr>
        <w:t>11.1</w:t>
      </w:r>
      <w:r>
        <w:rPr>
          <w:b w:val="0"/>
          <w:i w:val="0"/>
        </w:rPr>
        <w:t xml:space="preserve"> Grundlage für Individualleistungen ist eine schriftliche Leistungsbeschreibung, die der Kunde auf Richtigkeit und Vollständigkeit prüft und freigibt. Spätere Änderungswünsche können zu neuen Termin- und Preisvereinbarungen führen.</w:t>
      </w:r>
    </w:p>
    <w:p>
      <w:r>
        <w:rPr>
          <w:b/>
          <w:i w:val="0"/>
        </w:rPr>
        <w:t>11.2</w:t>
      </w:r>
      <w:r>
        <w:rPr>
          <w:b w:val="0"/>
          <w:i w:val="0"/>
        </w:rPr>
        <w:t xml:space="preserve"> Der Kunde nimmt Individualleistungen innerhalb von vier Wochen nach Bereitstellung ab und bestätigt dies schriftlich. Lässt er diese Frist ohne Angabe wesentlicher Mängel verstreichen oder nutzt er die Leistung im Echtbetrieb, gilt sie als abgenommen. Wegen unwesentlicher Mängel darf die Abnahme nicht verweigert werden.</w:t>
      </w:r>
    </w:p>
    <w:p>
      <w:r>
        <w:rPr>
          <w:b/>
          <w:i w:val="0"/>
        </w:rPr>
        <w:t>11.3</w:t>
      </w:r>
      <w:r>
        <w:rPr>
          <w:b w:val="0"/>
          <w:i w:val="0"/>
        </w:rPr>
        <w:t xml:space="preserve"> Stellt sich heraus, dass die Leistung tatsächlich oder rechtlich nicht wie beschrieben ausführbar ist, teilt der Auftragnehmer dies unverzüglich mit. Ändert der Kunde die Leistungsbeschreibung nicht entsprechend, kann der Auftragnehmer vom Vertrag zurücktreten; bis dahin erbrachte Leistungen sind zu vergüten.</w:t>
      </w:r>
    </w:p>
    <w:p>
      <w:r>
        <w:rPr>
          <w:b/>
          <w:i w:val="0"/>
        </w:rPr>
        <w:t>11.4</w:t>
      </w:r>
      <w:r>
        <w:rPr>
          <w:b w:val="0"/>
          <w:i w:val="0"/>
        </w:rPr>
        <w:t xml:space="preserve"> Storniert der Kunde eine Individualleistung, ist dies nur mit Zustimmung des Auftragnehmers möglich. Der Auftragnehmer kann neben den erbrachten Leistungen eine Stornogebühr von 30 % des noch nicht abgerechneten Auftragswerts verrechnen.</w:t>
      </w:r>
    </w:p>
    <w:p>
      <w:pPr>
        <w:pStyle w:val="Heading1"/>
      </w:pPr>
      <w:r>
        <w:rPr>
          <w:b w:val="0"/>
          <w:i w:val="0"/>
        </w:rPr>
        <w:t>12. Preise und Zahlung</w:t>
      </w:r>
    </w:p>
    <w:p>
      <w:r>
        <w:rPr>
          <w:b/>
          <w:i w:val="0"/>
        </w:rPr>
        <w:t>12.1</w:t>
      </w:r>
      <w:r>
        <w:rPr>
          <w:b w:val="0"/>
          <w:i w:val="0"/>
        </w:rPr>
        <w:t xml:space="preserve"> Alle Preise verstehen sich in Euro zuzüglich Umsatzsteuer.</w:t>
      </w:r>
    </w:p>
    <w:p>
      <w:r>
        <w:rPr>
          <w:b/>
          <w:i w:val="0"/>
        </w:rPr>
        <w:t>12.2</w:t>
      </w:r>
      <w:r>
        <w:rPr>
          <w:b w:val="0"/>
          <w:i w:val="0"/>
        </w:rPr>
        <w:t xml:space="preserve"> Abonnementgebühren werden im Voraus für den vereinbarten Abrechnungszeitraum verrechnet. Individualleistungen werden nach Aufwand zu den am Leistungstag gültigen Sätzen verrechnet, sofern kein Pauschalpreis vereinbart ist. Reisezeit gilt als Arbeitszeit; Reise- und Aufenthaltskosten werden gesondert verrechnet.</w:t>
      </w:r>
    </w:p>
    <w:p>
      <w:r>
        <w:rPr>
          <w:b/>
          <w:i w:val="0"/>
        </w:rPr>
        <w:t>12.3</w:t>
      </w:r>
      <w:r>
        <w:rPr>
          <w:b w:val="0"/>
          <w:i w:val="0"/>
        </w:rPr>
        <w:t xml:space="preserve"> Rechnungen sind innerhalb von 14 Tagen ab Erhalt ohne Abzug zahlbar. Bei Zahlungsverzug gelten die gesetzlichen Verzugszinsen für Unternehmergeschäfte. Der Auftragnehmer darf nach Mahnung den Zugang zur Plattform sperren, bis die offenen Beträge bezahlt sind; die Kundendaten bleiben während der Sperre erhalten.</w:t>
      </w:r>
    </w:p>
    <w:p>
      <w:r>
        <w:rPr>
          <w:b/>
          <w:i w:val="0"/>
        </w:rPr>
        <w:t>12.4</w:t>
      </w:r>
      <w:r>
        <w:rPr>
          <w:b w:val="0"/>
          <w:i w:val="0"/>
        </w:rPr>
        <w:t xml:space="preserve"> Der Kunde darf nur mit anerkannten oder rechtskräftig festgestellten Forderungen aufrechnen. Ein Zurückbehaltungsrecht wegen Gewährleistungsansprüchen ist ausgeschlossen.</w:t>
      </w:r>
    </w:p>
    <w:p>
      <w:r>
        <w:rPr>
          <w:b/>
          <w:i w:val="0"/>
        </w:rPr>
        <w:t>12.5</w:t>
      </w:r>
      <w:r>
        <w:rPr>
          <w:b w:val="0"/>
          <w:i w:val="0"/>
        </w:rPr>
        <w:t xml:space="preserve"> Die laufenden Entgelte sind wertgesichert auf Basis des Kollektivvertragsgehalts für Angestellte in Unternehmen im Bereich Dienstleistungen in der automatischen Datenverarbeitung und Informationstechnik, Erfahrungsstufe Spezialtätigkeiten (ST2). Ändert sich dieses Gehalt, darf der Auftragnehmer die Entgelte im selben Verhältnis anpassen; er kündigt dies mindestens einen Monat vorher an.</w:t>
      </w:r>
    </w:p>
    <w:p>
      <w:pPr>
        <w:pStyle w:val="Heading1"/>
      </w:pPr>
      <w:r>
        <w:rPr>
          <w:b w:val="0"/>
          <w:i w:val="0"/>
        </w:rPr>
        <w:t>13. Gewährleistung</w:t>
      </w:r>
    </w:p>
    <w:p>
      <w:r>
        <w:rPr>
          <w:b/>
          <w:i w:val="0"/>
        </w:rPr>
        <w:t>13.1</w:t>
      </w:r>
      <w:r>
        <w:rPr>
          <w:b w:val="0"/>
          <w:i w:val="0"/>
        </w:rPr>
        <w:t xml:space="preserve"> Der Auftragnehmer gewährleistet, dass die Plattform während der Vertragslaufzeit im Wesentlichen der Leistungsbeschreibung entspricht. Für Individualleistungen beträgt die Gewährleistungsfrist sechs Monate ab Abnahme.</w:t>
      </w:r>
    </w:p>
    <w:p>
      <w:r>
        <w:rPr>
          <w:b/>
          <w:i w:val="0"/>
        </w:rPr>
        <w:t>13.2</w:t>
      </w:r>
      <w:r>
        <w:rPr>
          <w:b w:val="0"/>
          <w:i w:val="0"/>
        </w:rPr>
        <w:t xml:space="preserve"> Mängel sind unverzüglich, spätestens innerhalb der Frist des § 377 UGB, schriftlich oder per E-Mail mit nachvollziehbarer Beschreibung zu melden. Der Auftragnehmer beseitigt gemeldete Mängel innerhalb angemessener Frist; Verbesserung hat Vorrang vor Preisminderung oder Vertragsauflösung.</w:t>
      </w:r>
    </w:p>
    <w:p>
      <w:r>
        <w:rPr>
          <w:b/>
          <w:i w:val="0"/>
        </w:rPr>
        <w:t>13.3</w:t>
      </w:r>
      <w:r>
        <w:rPr>
          <w:b w:val="0"/>
          <w:i w:val="0"/>
        </w:rPr>
        <w:t xml:space="preserve"> Die Vermutung der Mangelhaftigkeit nach § 924 ABGB und die Einrede nach § 933 Abs. 3 ABGB sind ausgeschlossen. Gewährleistungsansprüche erlöschen jedenfalls einen Monat nach Ablauf der Gewährleistungsfrist.</w:t>
      </w:r>
    </w:p>
    <w:p>
      <w:r>
        <w:rPr>
          <w:b/>
          <w:i w:val="0"/>
        </w:rPr>
        <w:t>13.4</w:t>
      </w:r>
      <w:r>
        <w:rPr>
          <w:b w:val="0"/>
          <w:i w:val="0"/>
        </w:rPr>
        <w:t xml:space="preserve"> Keine Gewährleistung besteht für Mängel, die auf Änderungen durch den Kunden oder Dritte, auf unsachgemäße Nutzung, auf Dienste Dritter oder auf fehlende Mitwirkung des Kunden zurückgehen.</w:t>
      </w:r>
    </w:p>
    <w:p>
      <w:r>
        <w:rPr>
          <w:b/>
          <w:i w:val="0"/>
        </w:rPr>
        <w:t>13.5</w:t>
      </w:r>
      <w:r>
        <w:rPr>
          <w:b w:val="0"/>
          <w:i w:val="0"/>
        </w:rPr>
        <w:t xml:space="preserve"> Die Aktualisierungspflicht nach § 7 VGG ist ausgeschlossen, soweit nichts anderes vereinbart ist. Der Auftragnehmer stellt Aktualisierungen der Plattform im Rahmen ihrer laufenden Weiterentwicklung bereit.</w:t>
      </w:r>
    </w:p>
    <w:p>
      <w:pPr>
        <w:pStyle w:val="Heading1"/>
      </w:pPr>
      <w:r>
        <w:rPr>
          <w:b w:val="0"/>
          <w:i w:val="0"/>
        </w:rPr>
        <w:t>14. Haftung</w:t>
      </w:r>
    </w:p>
    <w:p>
      <w:r>
        <w:rPr>
          <w:b/>
          <w:i w:val="0"/>
        </w:rPr>
        <w:t>14.1</w:t>
      </w:r>
      <w:r>
        <w:rPr>
          <w:b w:val="0"/>
          <w:i w:val="0"/>
        </w:rPr>
        <w:t xml:space="preserve"> Der Auftragnehmer haftet nur für Schäden, die er vorsätzlich oder grob fahrlässig verursacht hat. Dies gilt auch für Erfüllungsgehilfen. Für Personenschäden haftet er unbeschränkt.</w:t>
      </w:r>
    </w:p>
    <w:p>
      <w:r>
        <w:rPr>
          <w:b/>
          <w:i w:val="0"/>
        </w:rPr>
        <w:t>14.2</w:t>
      </w:r>
      <w:r>
        <w:rPr>
          <w:b w:val="0"/>
          <w:i w:val="0"/>
        </w:rPr>
        <w:t xml:space="preserve"> Die Haftung für entgangenen Gewinn, Folgeschäden, Betriebsunterbrechung und Ansprüche Dritter ist ausgeschlossen, außer bei Vorsatz.</w:t>
      </w:r>
    </w:p>
    <w:p>
      <w:r>
        <w:rPr>
          <w:b/>
          <w:i w:val="0"/>
        </w:rPr>
        <w:t>14.3</w:t>
      </w:r>
      <w:r>
        <w:rPr>
          <w:b w:val="0"/>
          <w:i w:val="0"/>
        </w:rPr>
        <w:t xml:space="preserve"> Für Datenverlust haftet der Auftragnehmer nur in Höhe des Aufwands zur Wiederherstellung aus den vorhandenen Backups, höchstens jedoch mit 10 % des Jahresentgelts pro Schadensfall und maximal EUR 15.000.</w:t>
      </w:r>
    </w:p>
    <w:p>
      <w:r>
        <w:rPr>
          <w:b/>
          <w:i w:val="0"/>
        </w:rPr>
        <w:t>14.4</w:t>
      </w:r>
      <w:r>
        <w:rPr>
          <w:b w:val="0"/>
          <w:i w:val="0"/>
        </w:rPr>
        <w:t xml:space="preserve"> Schadenersatzansprüche verjähren nach den gesetzlichen Bestimmungen, spätestens jedoch ein Jahr ab Kenntnis von Schaden und Schädiger.</w:t>
      </w:r>
    </w:p>
    <w:p>
      <w:r>
        <w:rPr>
          <w:b/>
          <w:i w:val="0"/>
        </w:rPr>
        <w:t>14.5</w:t>
      </w:r>
      <w:r>
        <w:rPr>
          <w:b w:val="0"/>
          <w:i w:val="0"/>
        </w:rPr>
        <w:t xml:space="preserve"> Setzt der Auftragnehmer Dritte ein und entstehen gegen diese Gewährleistungs- oder Haftungsansprüche, tritt er diese auf Wunsch an den Kunden ab.</w:t>
      </w:r>
    </w:p>
    <w:p>
      <w:pPr>
        <w:pStyle w:val="Heading1"/>
      </w:pPr>
      <w:r>
        <w:rPr>
          <w:b w:val="0"/>
          <w:i w:val="0"/>
        </w:rPr>
        <w:t>15. Vertragslaufzeit und Beendigung</w:t>
      </w:r>
    </w:p>
    <w:p>
      <w:r>
        <w:rPr>
          <w:b/>
          <w:i w:val="0"/>
        </w:rPr>
        <w:t>15.1</w:t>
      </w:r>
      <w:r>
        <w:rPr>
          <w:b w:val="0"/>
          <w:i w:val="0"/>
        </w:rPr>
        <w:t xml:space="preserve"> Abonnements laufen für die im Angebot vereinbarte Mindestlaufzeit und verlängern sich danach auf unbestimmte Zeit. Ist nichts vereinbart, kann jede Partei schriftlich unter Einhaltung einer Frist von sechs Monaten kündigen, frühestens zum Ende der Mindestlaufzeit.</w:t>
      </w:r>
    </w:p>
    <w:p>
      <w:r>
        <w:rPr>
          <w:b/>
          <w:i w:val="0"/>
        </w:rPr>
        <w:t>15.2</w:t>
      </w:r>
      <w:r>
        <w:rPr>
          <w:b w:val="0"/>
          <w:i w:val="0"/>
        </w:rPr>
        <w:t xml:space="preserve"> Jede Partei kann aus wichtigem Grund fristlos kündigen, insbesondere wenn die andere Partei wesentliche Pflichten trotz schriftlicher Abmahnung verletzt oder die Leistung länger als sechs Monate durch höhere Gewalt verhindert ist.</w:t>
      </w:r>
    </w:p>
    <w:p>
      <w:r>
        <w:rPr>
          <w:b/>
          <w:i w:val="0"/>
        </w:rPr>
        <w:t>15.3</w:t>
      </w:r>
      <w:r>
        <w:rPr>
          <w:b w:val="0"/>
          <w:i w:val="0"/>
        </w:rPr>
        <w:t xml:space="preserve"> Nach Vertragsende kann der Kunde seine Daten innerhalb von 30 Tagen in einem gängigen Format exportieren. Die Löschung der aktiven Kundendaten erfolgt im Rahmen des AVV und gesetzlicher Aufbewahrungspflichten. Backups folgen gesonderten Speicherfristen: Nächtliche Backups am Server 14 Tage, Kopien in der Hetzner Storage Box und bei Scaleway in Paris ohne festes Ablaufdatum. Die Löschung des kundenspezifischen Schlüssels wird nicht als Garantie dafür dargestellt, dass sämtliche Backups unlesbar werden.</w:t>
      </w:r>
    </w:p>
    <w:p>
      <w:pPr>
        <w:pStyle w:val="Heading1"/>
      </w:pPr>
      <w:r>
        <w:rPr>
          <w:b w:val="0"/>
          <w:i w:val="0"/>
        </w:rPr>
        <w:t>16. Geheimhaltung</w:t>
      </w:r>
    </w:p>
    <w:p>
      <w:r>
        <w:rPr>
          <w:b/>
          <w:i w:val="0"/>
        </w:rPr>
        <w:t>16.1</w:t>
      </w:r>
      <w:r>
        <w:rPr>
          <w:b w:val="0"/>
          <w:i w:val="0"/>
        </w:rPr>
        <w:t xml:space="preserve"> Jede Partei behandelt Geschäftsgeheimnisse der anderen Partei vertraulich und gibt sie nicht an Dritte weiter. Ausgenommen sind Informationen, die allgemein bekannt sind, dem Empfänger bereits ohne Geheimhaltungspflicht bekannt waren, ihm von Dritten ohne Geheimhaltungspflicht übermittelt wurden, von ihm nachweislich unabhängig entwickelt wurden oder aufgrund behördlicher oder gerichtlicher Entscheidung offengelegt werden müssen.</w:t>
      </w:r>
    </w:p>
    <w:p>
      <w:r>
        <w:rPr>
          <w:b/>
          <w:i w:val="0"/>
        </w:rPr>
        <w:t>16.2</w:t>
      </w:r>
      <w:r>
        <w:rPr>
          <w:b w:val="0"/>
          <w:i w:val="0"/>
        </w:rPr>
        <w:t xml:space="preserve"> Subunternehmer des Auftragnehmers gelten nicht als Dritte, soweit sie einer gleichwertigen Geheimhaltungspflicht unterliegen.</w:t>
      </w:r>
    </w:p>
    <w:p>
      <w:pPr>
        <w:pStyle w:val="Heading1"/>
      </w:pPr>
      <w:r>
        <w:rPr>
          <w:b w:val="0"/>
          <w:i w:val="0"/>
        </w:rPr>
        <w:t>17. Abwerbeverbot</w:t>
      </w:r>
    </w:p>
    <w:p>
      <w:r>
        <w:rPr>
          <w:b w:val="0"/>
          <w:i w:val="0"/>
        </w:rPr>
        <w:t>Die Parteien werben während der Vertragslaufzeit und zwölf Monate danach keine Mitarbeiter der anderen Partei ab, die an der Vertragserfüllung beteiligt waren, auch nicht über Dritte. Für jeden Verstoß ist eine Vertragsstrafe in Höhe des Zwölffachen des zuletzt bezogenen Bruttomonatsgehalts des betroffenen Mitarbeiters zu zahlen.</w:t>
      </w:r>
    </w:p>
    <w:p>
      <w:pPr>
        <w:pStyle w:val="Heading1"/>
      </w:pPr>
      <w:r>
        <w:rPr>
          <w:b w:val="0"/>
          <w:i w:val="0"/>
        </w:rPr>
        <w:t>18. Höhere Gewalt</w:t>
      </w:r>
    </w:p>
    <w:p>
      <w:r>
        <w:rPr>
          <w:b w:val="0"/>
          <w:i w:val="0"/>
        </w:rPr>
        <w:t>Ereignisse außerhalb des Einflussbereichs einer Partei, etwa Krieg, Terror, Naturkatastrophen, Feuer, Streik, Embargo, behördliche Eingriffe, Ausfall von Stromversorgung, Telekommunikationsnetzen oder Diensten Dritter, befreien für ihre Dauer von der Leistungspflicht und stellen keine Vertragsverletzung dar.</w:t>
      </w:r>
    </w:p>
    <w:p>
      <w:pPr>
        <w:pStyle w:val="Heading1"/>
      </w:pPr>
      <w:r>
        <w:rPr>
          <w:b w:val="0"/>
          <w:i w:val="0"/>
        </w:rPr>
        <w:t>19. Schlussbestimmungen</w:t>
      </w:r>
    </w:p>
    <w:p>
      <w:r>
        <w:rPr>
          <w:b/>
          <w:i w:val="0"/>
        </w:rPr>
        <w:t>19.1</w:t>
      </w:r>
      <w:r>
        <w:rPr>
          <w:b w:val="0"/>
          <w:i w:val="0"/>
        </w:rPr>
        <w:t xml:space="preserve"> Änderungen und Ergänzungen des Vertrags bedürfen der Schriftform; E-Mail genügt. Dies gilt auch für das Abgehen von diesem Formerfordernis.</w:t>
      </w:r>
    </w:p>
    <w:p>
      <w:r>
        <w:rPr>
          <w:b/>
          <w:i w:val="0"/>
        </w:rPr>
        <w:t>19.2</w:t>
      </w:r>
      <w:r>
        <w:rPr>
          <w:b w:val="0"/>
          <w:i w:val="0"/>
        </w:rPr>
        <w:t xml:space="preserve"> Die Übertragung von Rechten und Pflichten aus dem Vertrag bedarf der vorherigen schriftlichen Zustimmung der anderen Partei. Der Auftragnehmer darf den Vertrag ohne Zustimmung auf ein mit ihm verbundenes Unternehmen übertragen.</w:t>
      </w:r>
    </w:p>
    <w:p>
      <w:r>
        <w:rPr>
          <w:b/>
          <w:i w:val="0"/>
        </w:rPr>
        <w:t>19.3</w:t>
      </w:r>
      <w:r>
        <w:rPr>
          <w:b w:val="0"/>
          <w:i w:val="0"/>
        </w:rPr>
        <w:t xml:space="preserve"> Ist eine Bestimmung unwirksam, bleibt der Rest des Vertrags wirksam. An ihre Stelle tritt eine wirksame Bestimmung, die dem wirtschaftlichen Zweck am nächsten kommt.</w:t>
      </w:r>
    </w:p>
    <w:p>
      <w:r>
        <w:rPr>
          <w:b/>
          <w:i w:val="0"/>
        </w:rPr>
        <w:t>19.4</w:t>
      </w:r>
      <w:r>
        <w:rPr>
          <w:b w:val="0"/>
          <w:i w:val="0"/>
        </w:rPr>
        <w:t xml:space="preserve"> Bei Streitigkeiten bemühen sich die Parteien zunächst um eine einvernehmliche Lösung, auf Wunsch einer Partei durch eingetragene Wirtschaftsmediatoren (ZivMediatG). Gerichtliche Schritte werden frühestens einen Monat nach Scheitern der Verhandlungen eingeleitet; Maßnahmen zur Sicherung von Ansprüchen bleiben möglich.</w:t>
      </w:r>
    </w:p>
    <w:p>
      <w:r>
        <w:rPr>
          <w:b/>
          <w:i w:val="0"/>
        </w:rPr>
        <w:t>19.5</w:t>
      </w:r>
      <w:r>
        <w:rPr>
          <w:b w:val="0"/>
          <w:i w:val="0"/>
        </w:rPr>
        <w:t xml:space="preserve"> Es gilt österreichisches Recht unter Ausschluss der Verweisungsnormen und des UN-Kaufrechts. Ausschließlicher Gerichtsstand ist das für den Sitz des Auftragnehmers in Wien sachlich zuständige Gericht.</w:t>
      </w:r>
    </w:p>
    <w:p>
      <w:r>
        <w:rPr>
          <w:b/>
          <w:i w:val="0"/>
        </w:rPr>
        <w:t>19.6</w:t>
      </w:r>
      <w:r>
        <w:rPr>
          <w:b w:val="0"/>
          <w:i w:val="0"/>
        </w:rPr>
        <w:t xml:space="preserve"> Bei Abweichungen zwischen der deutschen und der englischen Fassung gilt die deutsche Fassung.</w:t>
      </w:r>
    </w:p>
    <w:p>
      <w:r>
        <w:rPr>
          <w:b w:val="0"/>
          <w:i w:val="0"/>
        </w:rPr>
        <w:t>Stand: Oktober 2026</w:t>
      </w:r>
    </w:p>
    <w:p>
      <w:r>
        <w:rPr>
          <w:b w:val="0"/>
          <w:i w:val="0"/>
        </w:rPr>
        <w:t>Zurück nach oben ↑</w:t>
      </w:r>
    </w:p>
    <w:p>
      <w:pPr>
        <w:pStyle w:val="Title"/>
        <w:pageBreakBefore/>
      </w:pPr>
      <w:r>
        <w:t>Kontolöschung anfragen</w:t>
      </w:r>
    </w:p>
    <w:p>
      <w:r>
        <w:rPr>
          <w:b/>
          <w:color w:val="426E44"/>
          <w:sz w:val="16"/>
        </w:rPr>
        <w:t>GERMAN / DEUTSCH</w:t>
      </w:r>
    </w:p>
    <w:p>
      <w:pPr>
        <w:pStyle w:val="Heading1"/>
      </w:pPr>
      <w:r>
        <w:rPr>
          <w:b w:val="0"/>
          <w:i w:val="0"/>
        </w:rPr>
        <w:t>Einzelkonto oder ganzen Betrieb löschen</w:t>
      </w:r>
    </w:p>
    <w:p>
      <w:r>
        <w:rPr>
          <w:b w:val="0"/>
          <w:i w:val="0"/>
        </w:rPr>
        <w:t>Dein E-Mail-Programm öffnet sich mit einem Entwurf. Du musst die E-Mail selbst senden. Das Öffnen versendet keine Anfrage und löscht dein Konto nicht.</w:t>
      </w:r>
    </w:p>
    <w:p>
      <w:r>
        <w:rPr>
          <w:b w:val="0"/>
          <w:i w:val="0"/>
        </w:rPr>
        <w:t xml:space="preserve">Dein eigenes Benutzerkonto kannst du direkt in der App löschen. Die </w:t>
      </w:r>
      <w:r>
        <w:rPr>
          <w:b/>
          <w:i w:val="0"/>
        </w:rPr>
        <w:t>Löschung eines gesamten Kundenbetriebs kannst du in der App beantragen</w:t>
      </w:r>
      <w:r>
        <w:rPr>
          <w:b w:val="0"/>
          <w:i w:val="0"/>
        </w:rPr>
        <w:t xml:space="preserve">. Das Necesso-Team führt die Unternehmenslöschung </w:t>
      </w:r>
      <w:r>
        <w:rPr>
          <w:b/>
          <w:i w:val="0"/>
        </w:rPr>
        <w:t>innerhalb von 30 Tagen nach Eingang der Anfrage</w:t>
      </w:r>
      <w:r>
        <w:rPr>
          <w:b w:val="0"/>
          <w:i w:val="0"/>
        </w:rPr>
        <w:t xml:space="preserve"> im aktiven System durch, soweit keine gesetzlichen Aufbewahrungspflichten entgegenstehen. Du kannst die Anfrage alternativ hier über die Website oder per E-Mail an </w:t>
      </w:r>
      <w:r>
        <w:rPr>
          <w:b w:val="0"/>
          <w:i w:val="0"/>
        </w:rPr>
        <w:t>office@necesso.ai</w:t>
      </w:r>
      <w:r>
        <w:rPr>
          <w:b w:val="0"/>
          <w:i w:val="0"/>
        </w:rPr>
        <w:t xml:space="preserve"> stellen. Bereits gesicherte Daten können entsprechend den Backup-Fristen weiterbestehen.</w:t>
      </w:r>
    </w:p>
    <w:p>
      <w:r>
        <w:rPr>
          <w:b w:val="0"/>
          <w:i w:val="0"/>
        </w:rPr>
        <w:t>Unternehmenslöschung per E-Mail beantragen ↗</w:t>
      </w:r>
    </w:p>
    <w:p>
      <w:r>
        <w:rPr>
          <w:b w:val="0"/>
          <w:i w:val="0"/>
        </w:rPr>
        <w:t>Sende die Anfrage nach Möglichkeit von der E-Mail-Adresse deines Kontos. Schicke keine Passwörter oder Ausweiskopien mit.</w:t>
      </w:r>
    </w:p>
    <w:p>
      <w:r>
        <w:rPr>
          <w:b w:val="0"/>
          <w:i w:val="0"/>
        </w:rPr>
        <w:t xml:space="preserve">Informationen zur Löschung, Speicherung und Verarbeitung deiner Daten findest du in unserer </w:t>
      </w:r>
      <w:r>
        <w:rPr>
          <w:b w:val="0"/>
          <w:i w:val="0"/>
        </w:rPr>
        <w:t>Datenschutzerklärung</w:t>
      </w:r>
      <w:r>
        <w:rPr>
          <w:b w:val="0"/>
          <w:i w:val="0"/>
        </w:rPr>
        <w:t>.</w:t>
      </w:r>
    </w:p>
    <w:p>
      <w:r>
        <w:rPr>
          <w:b w:val="0"/>
          <w:i w:val="0"/>
        </w:rPr>
        <w:t>Kontakt</w:t>
      </w:r>
      <w:r>
        <w:rPr>
          <w:b w:val="0"/>
          <w:i w:val="0"/>
        </w:rPr>
        <w:t>office@necesso.ai</w:t>
      </w:r>
    </w:p>
    <w:p>
      <w:pPr>
        <w:pStyle w:val="Title"/>
        <w:pageBreakBefore/>
      </w:pPr>
      <w:r>
        <w:t>Impressum</w:t>
      </w:r>
    </w:p>
    <w:p>
      <w:r>
        <w:rPr>
          <w:b/>
          <w:color w:val="426E44"/>
          <w:sz w:val="16"/>
        </w:rPr>
        <w:t>ENGLISH</w:t>
      </w:r>
    </w:p>
    <w:p>
      <w:r>
        <w:rPr>
          <w:b w:val="0"/>
          <w:i w:val="0"/>
        </w:rPr>
        <w:t>The legal text below is the German original.</w:t>
      </w:r>
    </w:p>
    <w:p>
      <w:pPr>
        <w:pStyle w:val="Heading1"/>
      </w:pPr>
      <w:r>
        <w:rPr>
          <w:b w:val="0"/>
          <w:i w:val="0"/>
        </w:rPr>
        <w:t>Request account deletion</w:t>
      </w:r>
    </w:p>
    <w:p>
      <w:r>
        <w:rPr>
          <w:b w:val="0"/>
          <w:i w:val="0"/>
        </w:rPr>
        <w:t>Prepare an email to office@necesso.ai.</w:t>
      </w:r>
    </w:p>
    <w:p>
      <w:pPr>
        <w:pStyle w:val="Heading1"/>
      </w:pPr>
      <w:r>
        <w:rPr>
          <w:b w:val="0"/>
          <w:i w:val="0"/>
        </w:rPr>
        <w:t>Webseitenbetreiber:</w:t>
      </w:r>
    </w:p>
    <w:p>
      <w:r>
        <w:rPr>
          <w:b w:val="0"/>
          <w:i w:val="0"/>
        </w:rPr>
        <w:t>CONCEPTS Gabriela Prett-Preza KG</w:t>
      </w:r>
    </w:p>
    <w:p>
      <w:r>
        <w:rPr>
          <w:b w:val="0"/>
          <w:i w:val="0"/>
        </w:rPr>
        <w:t>Necesso ist ein Produkt der CONCEPTS Gabriela Prett-Preza KG.</w:t>
      </w:r>
    </w:p>
    <w:p>
      <w:pPr>
        <w:pStyle w:val="Heading1"/>
      </w:pPr>
      <w:r>
        <w:rPr>
          <w:b w:val="0"/>
          <w:i w:val="0"/>
        </w:rPr>
        <w:t>Firmenbuchnummer:</w:t>
      </w:r>
    </w:p>
    <w:p>
      <w:r>
        <w:rPr>
          <w:b w:val="0"/>
          <w:i w:val="0"/>
        </w:rPr>
        <w:t>FN 462437f</w:t>
      </w:r>
    </w:p>
    <w:p>
      <w:pPr>
        <w:pStyle w:val="Heading1"/>
      </w:pPr>
      <w:r>
        <w:rPr>
          <w:b w:val="0"/>
          <w:i w:val="0"/>
        </w:rPr>
        <w:t>Firmenbuchgericht:</w:t>
      </w:r>
    </w:p>
    <w:p>
      <w:r>
        <w:rPr>
          <w:b w:val="0"/>
          <w:i w:val="0"/>
        </w:rPr>
        <w:t>Handelsgericht Wien</w:t>
      </w:r>
    </w:p>
    <w:p>
      <w:pPr>
        <w:pStyle w:val="Heading1"/>
      </w:pPr>
      <w:r>
        <w:rPr>
          <w:b w:val="0"/>
          <w:i w:val="0"/>
        </w:rPr>
        <w:t>Vertretungsberechtigte Person:</w:t>
      </w:r>
    </w:p>
    <w:p>
      <w:r>
        <w:rPr>
          <w:b w:val="0"/>
          <w:i w:val="0"/>
        </w:rPr>
        <w:t>Manolo D. Preza</w:t>
      </w:r>
    </w:p>
    <w:p>
      <w:pPr>
        <w:pStyle w:val="Heading1"/>
      </w:pPr>
      <w:r>
        <w:rPr>
          <w:b w:val="0"/>
          <w:i w:val="0"/>
        </w:rPr>
        <w:t>Anschrift:</w:t>
      </w:r>
    </w:p>
    <w:p>
      <w:r>
        <w:rPr>
          <w:b w:val="0"/>
          <w:i w:val="0"/>
        </w:rPr>
        <w:t>Illekgasse 8/16, 1150 Wien, Österreich</w:t>
      </w:r>
    </w:p>
    <w:p>
      <w:pPr>
        <w:pStyle w:val="Heading1"/>
      </w:pPr>
      <w:r>
        <w:rPr>
          <w:b w:val="0"/>
          <w:i w:val="0"/>
        </w:rPr>
        <w:t>Telefon:</w:t>
      </w:r>
    </w:p>
    <w:p>
      <w:r>
        <w:rPr>
          <w:b w:val="0"/>
          <w:i w:val="0"/>
        </w:rPr>
        <w:t>+ 43 676 972 9492</w:t>
      </w:r>
    </w:p>
    <w:p>
      <w:pPr>
        <w:pStyle w:val="Heading1"/>
      </w:pPr>
      <w:r>
        <w:rPr>
          <w:b w:val="0"/>
          <w:i w:val="0"/>
        </w:rPr>
        <w:t>E-Mail:</w:t>
      </w:r>
    </w:p>
    <w:p>
      <w:r>
        <w:rPr>
          <w:b w:val="0"/>
          <w:i w:val="0"/>
        </w:rPr>
        <w:t>office@necesso.ai</w:t>
      </w:r>
    </w:p>
    <w:p>
      <w:pPr>
        <w:pStyle w:val="Heading1"/>
      </w:pPr>
      <w:r>
        <w:rPr>
          <w:b w:val="0"/>
          <w:i w:val="0"/>
        </w:rPr>
        <w:t>Webseite:</w:t>
      </w:r>
    </w:p>
    <w:p>
      <w:r>
        <w:rPr>
          <w:b w:val="0"/>
          <w:i w:val="0"/>
        </w:rPr>
        <w:t>necesso.ai</w:t>
      </w:r>
    </w:p>
    <w:p>
      <w:pPr>
        <w:pStyle w:val="Heading1"/>
      </w:pPr>
      <w:r>
        <w:rPr>
          <w:b w:val="0"/>
          <w:i w:val="0"/>
        </w:rPr>
        <w:t>UID-Nummer:</w:t>
      </w:r>
    </w:p>
    <w:p>
      <w:r>
        <w:rPr>
          <w:b w:val="0"/>
          <w:i w:val="0"/>
        </w:rPr>
        <w:t>U71735456</w:t>
      </w:r>
    </w:p>
    <w:p>
      <w:pPr>
        <w:pStyle w:val="Heading1"/>
      </w:pPr>
      <w:r>
        <w:rPr>
          <w:b w:val="0"/>
          <w:i w:val="0"/>
        </w:rPr>
        <w:t>Gewerbeaufsichtbehörde:</w:t>
      </w:r>
    </w:p>
    <w:p>
      <w:r>
        <w:rPr>
          <w:b w:val="0"/>
          <w:i w:val="0"/>
        </w:rPr>
        <w:t>Wien</w:t>
      </w:r>
    </w:p>
    <w:p>
      <w:pPr>
        <w:pStyle w:val="Heading1"/>
      </w:pPr>
      <w:r>
        <w:rPr>
          <w:b w:val="0"/>
          <w:i w:val="0"/>
        </w:rPr>
        <w:t>Mitgliedschaften:</w:t>
      </w:r>
    </w:p>
    <w:p>
      <w:r>
        <w:rPr>
          <w:b w:val="0"/>
          <w:i w:val="0"/>
        </w:rPr>
        <w:t>Mitglied der Wirtschaftskammer Österreich (WKO)</w:t>
      </w:r>
    </w:p>
    <w:p>
      <w:pPr>
        <w:pStyle w:val="Heading1"/>
      </w:pPr>
      <w:r>
        <w:rPr>
          <w:b w:val="0"/>
          <w:i w:val="0"/>
        </w:rPr>
        <w:t>Anwendbare Rechtsvorschrift:</w:t>
      </w:r>
    </w:p>
    <w:p>
      <w:r>
        <w:rPr>
          <w:b w:val="0"/>
          <w:i w:val="0"/>
        </w:rPr>
        <w:t>www.ris.bka.gv.at</w:t>
      </w:r>
    </w:p>
    <w:p>
      <w:pPr>
        <w:pStyle w:val="Heading1"/>
      </w:pPr>
      <w:r>
        <w:rPr>
          <w:b w:val="0"/>
          <w:i w:val="0"/>
        </w:rPr>
        <w:t>Urheberrecht</w:t>
      </w:r>
    </w:p>
    <w:p>
      <w:r>
        <w:rPr>
          <w:b w:val="0"/>
          <w:i w:val="0"/>
        </w:rPr>
        <w:t>Die Inhalte dieser Webseite unterliegen, soweit dies rechtlich möglich ist, diversen Schutzrechten (z. B. dem Urheberrecht). Jegliche Verwendung/Verbreitung von bereitgestelltem Material, welche urheberrechtlich untersagt ist, bedarf schriftlicher Zustimmung des Webseitenbetreibers.</w:t>
      </w:r>
    </w:p>
    <w:p>
      <w:pPr>
        <w:pStyle w:val="Heading1"/>
      </w:pPr>
      <w:r>
        <w:rPr>
          <w:b w:val="0"/>
          <w:i w:val="0"/>
        </w:rPr>
        <w:t>Haftungsausschluss</w:t>
      </w:r>
    </w:p>
    <w:p>
      <w:r>
        <w:rPr>
          <w:b w:val="0"/>
          <w:i w:val="0"/>
        </w:rPr>
        <w:t xml:space="preserve">Trotz sorgfältiger inhaltlicher Kontrolle übernimmt der Webseitenbetreiber von </w:t>
      </w:r>
      <w:r>
        <w:rPr>
          <w:b w:val="0"/>
          <w:i w:val="0"/>
        </w:rPr>
        <w:t>necesso.ai</w:t>
      </w:r>
      <w:r>
        <w:rPr>
          <w:b w:val="0"/>
          <w:i w:val="0"/>
        </w:rPr>
        <w:t>, keine Haftung für die Inhalte externer Links. Für den Inhalt der verlinkten Seiten sind ausschließlich deren Betreiber verantwortlich. Sollten Sie dennoch auf ausgehende Links aufmerksam werden, welche auf eine Webseite mit rechtswidriger Tätigkeit/Information verweisen, ersuchen wir um dementsprechenden Hinweis (</w:t>
      </w:r>
      <w:r>
        <w:rPr>
          <w:b w:val="0"/>
          <w:i w:val="0"/>
        </w:rPr>
        <w:t>office@necesso.ai</w:t>
      </w:r>
      <w:r>
        <w:rPr>
          <w:b w:val="0"/>
          <w:i w:val="0"/>
        </w:rPr>
        <w:t>), um diesen nach § 17 Abs. 2 ECG umgehend zu entfernen.</w:t>
      </w:r>
    </w:p>
    <w:p>
      <w:r>
        <w:rPr>
          <w:b w:val="0"/>
          <w:i w:val="0"/>
        </w:rPr>
        <w:t>Die Urheberrechte Dritter werden vom Betreiber mit bestmöglicher Sorgfalt beachtet. Sollten Sie trotzdem auf eine Urheberrechtsverletzung aufmerksam werden, bitten wir um einen entsprechenden Hinweis an (</w:t>
      </w:r>
      <w:r>
        <w:rPr>
          <w:b w:val="0"/>
          <w:i w:val="0"/>
        </w:rPr>
        <w:t>office@necesso.ai</w:t>
      </w:r>
      <w:r>
        <w:rPr>
          <w:b w:val="0"/>
          <w:i w:val="0"/>
        </w:rPr>
        <w:t>). Bei Bekanntwerden derartiger Rechtsverletzungen werden wir den betroffenen Inhalt umgehend entfernen.</w:t>
      </w:r>
    </w:p>
    <w:p>
      <w:r>
        <w:rPr>
          <w:b w:val="0"/>
          <w:i w:val="0"/>
        </w:rPr>
        <w:t xml:space="preserve">Quelle: </w:t>
      </w:r>
      <w:r>
        <w:rPr>
          <w:b w:val="0"/>
          <w:i w:val="0"/>
        </w:rPr>
        <w:t>fairesrecht.at</w:t>
      </w:r>
    </w:p>
    <w:p>
      <w:pPr>
        <w:pStyle w:val="Title"/>
        <w:pageBreakBefore/>
      </w:pPr>
      <w:r>
        <w:t>Privacy Policy</w:t>
      </w:r>
    </w:p>
    <w:p>
      <w:r>
        <w:rPr>
          <w:b/>
          <w:color w:val="426E44"/>
          <w:sz w:val="16"/>
        </w:rPr>
        <w:t>ENGLISH</w:t>
      </w:r>
    </w:p>
    <w:p>
      <w:pPr>
        <w:pStyle w:val="Heading1"/>
      </w:pPr>
      <w:r>
        <w:rPr>
          <w:b w:val="0"/>
          <w:i w:val="0"/>
        </w:rPr>
        <w:t>1. Scope</w:t>
      </w:r>
    </w:p>
    <w:p>
      <w:r>
        <w:rPr>
          <w:b w:val="0"/>
          <w:i w:val="0"/>
        </w:rPr>
        <w:t>Necesso is a product of CONCEPTS Gabriela Prett-Preza KG. This privacy policy applies to all personal data we process within our company and to data processed by companies we have engaged (processors). Personal data means information within the meaning of Art. 4(1) GDPR, for example a person’s name, e-mail address and postal address.</w:t>
      </w:r>
    </w:p>
    <w:p>
      <w:r>
        <w:rPr>
          <w:b w:val="0"/>
          <w:i w:val="0"/>
        </w:rPr>
        <w:t>This policy covers:</w:t>
      </w:r>
    </w:p>
    <w:p>
      <w:pPr>
        <w:pStyle w:val="ListBullet"/>
      </w:pPr>
      <w:r>
        <w:rPr>
          <w:b w:val="0"/>
          <w:i w:val="0"/>
        </w:rPr>
        <w:t xml:space="preserve">all online presences, in particular the website </w:t>
      </w:r>
      <w:r>
        <w:rPr>
          <w:b w:val="0"/>
          <w:i w:val="0"/>
        </w:rPr>
        <w:t>necesso.ai</w:t>
      </w:r>
    </w:p>
    <w:p>
      <w:pPr>
        <w:pStyle w:val="ListBullet"/>
      </w:pPr>
      <w:r>
        <w:rPr>
          <w:b w:val="0"/>
          <w:i w:val="0"/>
        </w:rPr>
        <w:t>the Necesso platform (web application) for trade businesses, including AI assistants, WhatsApp integration, telephony features and bank connection</w:t>
      </w:r>
    </w:p>
    <w:p>
      <w:pPr>
        <w:pStyle w:val="ListBullet"/>
      </w:pPr>
      <w:r>
        <w:rPr>
          <w:b w:val="0"/>
          <w:i w:val="0"/>
        </w:rPr>
        <w:t>the Necesso mobile apps for iOS and Android</w:t>
      </w:r>
    </w:p>
    <w:p>
      <w:pPr>
        <w:pStyle w:val="ListBullet"/>
      </w:pPr>
      <w:r>
        <w:rPr>
          <w:b w:val="0"/>
          <w:i w:val="0"/>
        </w:rPr>
        <w:t>social media presences and e-mail communication</w:t>
      </w:r>
    </w:p>
    <w:p>
      <w:pPr>
        <w:pStyle w:val="Heading1"/>
      </w:pPr>
      <w:r>
        <w:rPr>
          <w:b w:val="0"/>
          <w:i w:val="0"/>
        </w:rPr>
        <w:t>2. Legal bases</w:t>
      </w:r>
    </w:p>
    <w:p>
      <w:r>
        <w:rPr>
          <w:b w:val="0"/>
          <w:i w:val="0"/>
        </w:rPr>
        <w:t xml:space="preserve">We process data on the basis of the General Data Protection Regulation, Regulation (EU) 2016/679 of 27 April 2016, available on </w:t>
      </w:r>
      <w:r>
        <w:rPr>
          <w:b w:val="0"/>
          <w:i w:val="0"/>
        </w:rPr>
        <w:t>EUR-Lex</w:t>
      </w:r>
      <w:r>
        <w:rPr>
          <w:b w:val="0"/>
          <w:i w:val="0"/>
        </w:rPr>
        <w:t>.</w:t>
      </w:r>
    </w:p>
    <w:p>
      <w:r>
        <w:rPr>
          <w:b w:val="0"/>
          <w:i w:val="0"/>
        </w:rPr>
        <w:t>We only process your data if at least one of these conditions applies:</w:t>
      </w:r>
    </w:p>
    <w:p>
      <w:pPr>
        <w:pStyle w:val="ListBullet"/>
      </w:pPr>
      <w:r>
        <w:rPr>
          <w:b/>
          <w:i w:val="0"/>
        </w:rPr>
        <w:t>Consent</w:t>
      </w:r>
      <w:r>
        <w:rPr>
          <w:b w:val="0"/>
          <w:i w:val="0"/>
        </w:rPr>
        <w:t xml:space="preserve"> (Art. 6(1)(a) GDPR): you have given consent, for example to the recording of a call or to loading external fonts.</w:t>
      </w:r>
    </w:p>
    <w:p>
      <w:pPr>
        <w:pStyle w:val="ListBullet"/>
      </w:pPr>
      <w:r>
        <w:rPr>
          <w:b/>
          <w:i w:val="0"/>
        </w:rPr>
        <w:t>Contract</w:t>
      </w:r>
      <w:r>
        <w:rPr>
          <w:b w:val="0"/>
          <w:i w:val="0"/>
        </w:rPr>
        <w:t xml:space="preserve"> (Art. 6(1)(b) GDPR): processing is necessary to perform a contract or pre-contractual measures, for example to provide the Necesso platform.</w:t>
      </w:r>
    </w:p>
    <w:p>
      <w:pPr>
        <w:pStyle w:val="ListBullet"/>
      </w:pPr>
      <w:r>
        <w:rPr>
          <w:b/>
          <w:i w:val="0"/>
        </w:rPr>
        <w:t>Legal obligation</w:t>
      </w:r>
      <w:r>
        <w:rPr>
          <w:b w:val="0"/>
          <w:i w:val="0"/>
        </w:rPr>
        <w:t xml:space="preserve"> (Art. 6(1)(c) GDPR): for example the statutory retention of invoices.</w:t>
      </w:r>
    </w:p>
    <w:p>
      <w:pPr>
        <w:pStyle w:val="ListBullet"/>
      </w:pPr>
      <w:r>
        <w:rPr>
          <w:b/>
          <w:i w:val="0"/>
        </w:rPr>
        <w:t>Legitimate interests</w:t>
      </w:r>
      <w:r>
        <w:rPr>
          <w:b w:val="0"/>
          <w:i w:val="0"/>
        </w:rPr>
        <w:t xml:space="preserve"> (Art. 6(1)(f) GDPR): for example the secure and efficient operation of our website and platform.</w:t>
      </w:r>
    </w:p>
    <w:p>
      <w:r>
        <w:rPr>
          <w:b w:val="0"/>
          <w:i w:val="0"/>
        </w:rPr>
        <w:t>Other legal bases (public interest, vital interests) do not usually apply to us. If they do, we state this in the relevant section.</w:t>
      </w:r>
    </w:p>
    <w:p>
      <w:r>
        <w:rPr>
          <w:b w:val="0"/>
          <w:i w:val="0"/>
        </w:rPr>
        <w:t>National laws also apply: in Austria the Data Protection Act (DSG), in Germany the Federal Data Protection Act (BDSG).</w:t>
      </w:r>
    </w:p>
    <w:p>
      <w:pPr>
        <w:pStyle w:val="Heading1"/>
      </w:pPr>
      <w:r>
        <w:rPr>
          <w:b w:val="0"/>
          <w:i w:val="0"/>
        </w:rPr>
        <w:t>3. Controller and our role</w:t>
      </w:r>
    </w:p>
    <w:p>
      <w:r>
        <w:rPr>
          <w:b w:val="0"/>
          <w:i w:val="0"/>
        </w:rPr>
        <w:t>The controller within the meaning of Art. 4(7) GDPR is:</w:t>
      </w:r>
    </w:p>
    <w:p>
      <w:r>
        <w:rPr>
          <w:b w:val="0"/>
          <w:i w:val="0"/>
        </w:rPr>
        <w:t>CONCEPTS Gabriela Prett-Preza KG (provider of Necesso)</w:t>
      </w:r>
      <w:r>
        <w:br/>
      </w:r>
      <w:r>
        <w:rPr>
          <w:b w:val="0"/>
          <w:i w:val="0"/>
        </w:rPr>
        <w:t>Illekgasse 8/16, 1150 Vienna, Austria</w:t>
      </w:r>
      <w:r>
        <w:br/>
      </w:r>
      <w:r>
        <w:rPr>
          <w:b w:val="0"/>
          <w:i w:val="0"/>
        </w:rPr>
        <w:t>Company register number: FN 462437f, Commercial Court of Vienna</w:t>
      </w:r>
      <w:r>
        <w:br/>
      </w:r>
      <w:r>
        <w:rPr>
          <w:b w:val="0"/>
          <w:i w:val="0"/>
        </w:rPr>
        <w:t>Phone: +43 676 972 9492</w:t>
      </w:r>
      <w:r>
        <w:br/>
      </w:r>
      <w:r>
        <w:rPr>
          <w:b w:val="0"/>
          <w:i w:val="0"/>
        </w:rPr>
        <w:t xml:space="preserve">E-mail: </w:t>
      </w:r>
      <w:r>
        <w:rPr>
          <w:b w:val="0"/>
          <w:i w:val="0"/>
        </w:rPr>
        <w:t>office@necesso.ai</w:t>
      </w:r>
      <w:r>
        <w:br/>
      </w:r>
      <w:r>
        <w:rPr>
          <w:b w:val="0"/>
          <w:i w:val="0"/>
        </w:rPr>
        <w:t>Authorised representative: Manolo D. Preza</w:t>
      </w:r>
      <w:r>
        <w:br/>
      </w:r>
      <w:r>
        <w:rPr>
          <w:b w:val="0"/>
          <w:i w:val="0"/>
        </w:rPr>
        <w:t xml:space="preserve">Legal notice: </w:t>
      </w:r>
      <w:r>
        <w:rPr>
          <w:b w:val="0"/>
          <w:i w:val="0"/>
        </w:rPr>
        <w:t>necesso.ai/en/impressum</w:t>
      </w:r>
    </w:p>
    <w:p>
      <w:r>
        <w:rPr>
          <w:b/>
          <w:i w:val="0"/>
        </w:rPr>
        <w:t>Two roles:</w:t>
      </w:r>
      <w:r>
        <w:rPr>
          <w:b w:val="0"/>
          <w:i w:val="0"/>
        </w:rPr>
        <w:t xml:space="preserve"> We are the controller for the website, your user account, contract handling and communication with us. When a trade business uses the Necesso platform to process data of its own customers (for example WhatsApp messages, calls, jobs, account transactions), the trade business is the controller. We then process this data as a processor under Art. 28 GDPR, based on a data processing agreement (DPA). In this case, data subjects should first contact the respective trade business; we support it in responding.</w:t>
      </w:r>
    </w:p>
    <w:p>
      <w:r>
        <w:rPr>
          <w:b/>
          <w:i w:val="0"/>
        </w:rPr>
        <w:t>Staff classification:</w:t>
      </w:r>
      <w:r>
        <w:rPr>
          <w:b w:val="0"/>
          <w:i w:val="0"/>
        </w:rPr>
        <w:t xml:space="preserve"> Ranks and ratings of a customer company’s employees are personal data. They are visible only to owners and managers of that company. The company is the controller and Necesso acts as processor.</w:t>
      </w:r>
    </w:p>
    <w:p>
      <w:pPr>
        <w:pStyle w:val="Heading1"/>
      </w:pPr>
      <w:r>
        <w:rPr>
          <w:b w:val="0"/>
          <w:i w:val="0"/>
        </w:rPr>
        <w:t>4. Retention period</w:t>
      </w:r>
    </w:p>
    <w:p>
      <w:pPr>
        <w:pStyle w:val="ListBullet"/>
      </w:pPr>
      <w:r>
        <w:rPr>
          <w:b w:val="0"/>
          <w:i w:val="0"/>
        </w:rPr>
        <w:t xml:space="preserve">A company's </w:t>
      </w:r>
      <w:r>
        <w:rPr>
          <w:b/>
          <w:i w:val="0"/>
        </w:rPr>
        <w:t>business data</w:t>
      </w:r>
      <w:r>
        <w:rPr>
          <w:b w:val="0"/>
          <w:i w:val="0"/>
        </w:rPr>
        <w:t>: for the term of the contract; then deleted as</w:t>
        <w:br/>
        <w:t>described in the data processing agreement.</w:t>
      </w:r>
    </w:p>
    <w:p>
      <w:pPr>
        <w:pStyle w:val="ListBullet"/>
      </w:pPr>
      <w:r>
        <w:rPr>
          <w:b/>
          <w:i w:val="0"/>
        </w:rPr>
        <w:t>Invoices and other accounting records</w:t>
      </w:r>
      <w:r>
        <w:rPr>
          <w:b w:val="0"/>
          <w:i w:val="0"/>
        </w:rPr>
        <w:t>: seven years (§ 132 BAO). They</w:t>
        <w:br/>
        <w:t>remain after a person's erasure and then show a neutral label; they can</w:t>
        <w:br/>
        <w:t>still allow the person to be identified and are kept only for that period.</w:t>
      </w:r>
    </w:p>
    <w:p>
      <w:pPr>
        <w:pStyle w:val="ListBullet"/>
      </w:pPr>
      <w:r>
        <w:rPr>
          <w:b/>
          <w:i w:val="0"/>
        </w:rPr>
        <w:t>Issued documents</w:t>
      </w:r>
      <w:r>
        <w:rPr>
          <w:b w:val="0"/>
          <w:i w:val="0"/>
        </w:rPr>
        <w:t xml:space="preserve"> are kept as they were issued.</w:t>
      </w:r>
    </w:p>
    <w:p>
      <w:pPr>
        <w:pStyle w:val="ListBullet"/>
      </w:pPr>
      <w:r>
        <w:rPr>
          <w:b/>
          <w:i w:val="0"/>
        </w:rPr>
        <w:t>Erasure of a person</w:t>
      </w:r>
      <w:r>
        <w:rPr>
          <w:b w:val="0"/>
          <w:i w:val="0"/>
        </w:rPr>
        <w:t>: a person with full rights in the company can erase</w:t>
        <w:br/>
        <w:t>a customer or a former employee; the data is deleted, or identifying details</w:t>
        <w:br/>
        <w:t>are replaced by a neutral label where records must be kept. An</w:t>
        <w:br/>
        <w:t>employee's absences (including sick leave), sessions, preferences, chat</w:t>
        <w:br/>
        <w:t>history and craftsman classification are deleted with it. Every person can</w:t>
        <w:br/>
        <w:t>also delete their own account (see “Deleting your account in the app”); a</w:t>
        <w:br/>
        <w:t>company whose deletion was requested is deleted within 30 days.</w:t>
      </w:r>
    </w:p>
    <w:p>
      <w:pPr>
        <w:pStyle w:val="ListBullet"/>
      </w:pPr>
      <w:r>
        <w:rPr>
          <w:b/>
          <w:i w:val="0"/>
        </w:rPr>
        <w:t>The privacy gateway's register of known values</w:t>
      </w:r>
      <w:r>
        <w:rPr>
          <w:b w:val="0"/>
          <w:i w:val="0"/>
        </w:rPr>
        <w:t xml:space="preserve"> (encrypted): values taken</w:t>
        <w:br/>
        <w:t>from the company's records — as long as those records; values the gateway</w:t>
        <w:br/>
        <w:t>found only in free text (for example in an e-mail) — until a person's</w:t>
        <w:br/>
        <w:t>erasure finds them; an old or differently spelled value may remain.</w:t>
        <w:br/>
        <w:t>Placeholders themselves are valid only for one request.</w:t>
      </w:r>
    </w:p>
    <w:p>
      <w:pPr>
        <w:pStyle w:val="ListBullet"/>
      </w:pPr>
      <w:r>
        <w:rPr>
          <w:b/>
          <w:i w:val="0"/>
        </w:rPr>
        <w:t>The gateway's privacy evidence</w:t>
      </w:r>
      <w:r>
        <w:rPr>
          <w:b w:val="0"/>
          <w:i w:val="0"/>
        </w:rPr>
        <w:t xml:space="preserve"> (no values): [period to be set].</w:t>
      </w:r>
    </w:p>
    <w:p>
      <w:pPr>
        <w:pStyle w:val="ListBullet"/>
      </w:pPr>
      <w:r>
        <w:rPr>
          <w:b/>
          <w:i w:val="0"/>
        </w:rPr>
        <w:t>Call recordings</w:t>
      </w:r>
      <w:r>
        <w:rPr>
          <w:b w:val="0"/>
          <w:i w:val="0"/>
        </w:rPr>
        <w:t>: the audio file is deleted 14 days after its transcript</w:t>
        <w:br/>
        <w:t xml:space="preserve">exists; </w:t>
      </w:r>
      <w:r>
        <w:rPr>
          <w:b/>
          <w:i w:val="0"/>
        </w:rPr>
        <w:t>WhatsApp voice messages and job audio</w:t>
      </w:r>
      <w:r>
        <w:rPr>
          <w:b w:val="0"/>
          <w:i w:val="0"/>
        </w:rPr>
        <w:t>: 7 days after. The</w:t>
        <w:br/>
        <w:t>transcripts stay with no end date (they are the record). A recording without</w:t>
        <w:br/>
        <w:t>a transcript is kept until it is deleted. Call recordings are deleted at</w:t>
        <w:br/>
        <w:t>Twilio immediately after being fetched.</w:t>
      </w:r>
    </w:p>
    <w:p>
      <w:pPr>
        <w:pStyle w:val="ListBullet"/>
      </w:pPr>
      <w:r>
        <w:rPr>
          <w:b/>
          <w:i w:val="0"/>
        </w:rPr>
        <w:t>Recordings in our internal backups</w:t>
      </w:r>
      <w:r>
        <w:rPr>
          <w:b w:val="0"/>
          <w:i w:val="0"/>
        </w:rPr>
        <w:t>: a recording deleted from the program</w:t>
        <w:br/>
      </w:r>
      <w:r>
        <w:rPr>
          <w:b/>
          <w:i w:val="0"/>
        </w:rPr>
        <w:t>remains in our internal backups</w:t>
      </w:r>
      <w:r>
        <w:rPr>
          <w:b w:val="0"/>
          <w:i w:val="0"/>
        </w:rPr>
        <w:t xml:space="preserve"> — the nightly copies of the database and</w:t>
        <w:br/>
        <w:t>the files on a separate storage at Hetzner in Germany and in a second copy at</w:t>
        <w:br/>
        <w:t>Scaleway in Paris (France), kept with no end date. They are not encrypted by</w:t>
        <w:br/>
        <w:t>Necesso beyond the access controls of those storages (Scaleway stores the</w:t>
        <w:br/>
        <w:t>second copy encrypted),</w:t>
        <w:br/>
        <w:t>are never shown to customers or users, and are used only to restore the</w:t>
        <w:br/>
        <w:t>service after a failure; after a restore the deletion runs again.</w:t>
      </w:r>
    </w:p>
    <w:p>
      <w:pPr>
        <w:pStyle w:val="ListBullet"/>
      </w:pPr>
      <w:r>
        <w:rPr>
          <w:b/>
          <w:i w:val="0"/>
        </w:rPr>
        <w:t>Job videos</w:t>
      </w:r>
      <w:r>
        <w:rPr>
          <w:b w:val="0"/>
          <w:i w:val="0"/>
        </w:rPr>
        <w:t>: with the job (business data).</w:t>
      </w:r>
    </w:p>
    <w:p>
      <w:pPr>
        <w:pStyle w:val="ListBullet"/>
      </w:pPr>
      <w:r>
        <w:rPr>
          <w:b/>
          <w:i w:val="0"/>
        </w:rPr>
        <w:t>Search analytics</w:t>
      </w:r>
      <w:r>
        <w:rPr>
          <w:b w:val="0"/>
          <w:i w:val="0"/>
        </w:rPr>
        <w:t>: 12 months, then deleted automatically.</w:t>
      </w:r>
    </w:p>
    <w:p>
      <w:pPr>
        <w:pStyle w:val="ListBullet"/>
      </w:pPr>
      <w:r>
        <w:rPr>
          <w:b/>
          <w:i w:val="0"/>
        </w:rPr>
        <w:t>Support chat history</w:t>
      </w:r>
      <w:r>
        <w:rPr>
          <w:b w:val="0"/>
          <w:i w:val="0"/>
        </w:rPr>
        <w:t>: kept until it is deleted (no automatic deletion).</w:t>
      </w:r>
    </w:p>
    <w:p>
      <w:pPr>
        <w:pStyle w:val="ListBullet"/>
      </w:pPr>
      <w:r>
        <w:rPr>
          <w:b/>
          <w:i w:val="0"/>
        </w:rPr>
        <w:t>Server logs</w:t>
      </w:r>
      <w:r>
        <w:rPr>
          <w:b w:val="0"/>
          <w:i w:val="0"/>
        </w:rPr>
        <w:t>: 30 days.</w:t>
      </w:r>
    </w:p>
    <w:p>
      <w:pPr>
        <w:pStyle w:val="ListBullet"/>
      </w:pPr>
      <w:r>
        <w:rPr>
          <w:b/>
          <w:i w:val="0"/>
        </w:rPr>
        <w:t>E-mail suppression list</w:t>
      </w:r>
      <w:r>
        <w:rPr>
          <w:b w:val="0"/>
          <w:i w:val="0"/>
        </w:rPr>
        <w:t xml:space="preserve"> (undeliverable or rejected addresses): without a</w:t>
        <w:br/>
        <w:t>time limit; an entry is never deleted, only released again by the Necesso</w:t>
        <w:br/>
        <w:t>team.</w:t>
      </w:r>
    </w:p>
    <w:p>
      <w:pPr>
        <w:pStyle w:val="ListBullet"/>
      </w:pPr>
      <w:r>
        <w:rPr>
          <w:b/>
          <w:i w:val="0"/>
        </w:rPr>
        <w:t>Mistral AI</w:t>
      </w:r>
      <w:r>
        <w:rPr>
          <w:b w:val="0"/>
          <w:i w:val="0"/>
        </w:rPr>
        <w:t xml:space="preserve"> (the assistant, the help chat, receipts, spoken input</w:t>
        <w:br/>
        <w:t>including the recordings Voxtral turns into text) keeps inputs and outputs</w:t>
        <w:br/>
        <w:t xml:space="preserve">for the time needed to answer and then </w:t>
      </w:r>
      <w:r>
        <w:rPr>
          <w:b/>
          <w:i w:val="0"/>
        </w:rPr>
        <w:t>30 days to monitor abuse</w:t>
      </w:r>
      <w:r>
        <w:rPr>
          <w:b w:val="0"/>
          <w:i w:val="0"/>
        </w:rPr>
        <w:t>, unless zero data retention has been agreed (Mistral's</w:t>
        <w:br/>
        <w:t>privacy policy, legal.mistral.ai, as of October 2026); it does not train on</w:t>
        <w:br/>
        <w:t>them (Mistral's commercial terms §4.2).</w:t>
      </w:r>
    </w:p>
    <w:p>
      <w:pPr>
        <w:pStyle w:val="ListBullet"/>
      </w:pPr>
      <w:r>
        <w:rPr>
          <w:b/>
          <w:i w:val="0"/>
        </w:rPr>
        <w:t>Voice recordings</w:t>
      </w:r>
      <w:r>
        <w:rPr>
          <w:b w:val="0"/>
          <w:i w:val="0"/>
        </w:rPr>
        <w:t xml:space="preserve"> (dictation, "speak instead of fill in", the voice</w:t>
        <w:br/>
        <w:t>assistant): not stored by us.</w:t>
      </w:r>
    </w:p>
    <w:p>
      <w:pPr>
        <w:pStyle w:val="ListBullet"/>
      </w:pPr>
      <w:r>
        <w:rPr>
          <w:b/>
          <w:i w:val="0"/>
        </w:rPr>
        <w:t>Login sessions</w:t>
      </w:r>
      <w:r>
        <w:rPr>
          <w:b w:val="0"/>
          <w:i w:val="0"/>
        </w:rPr>
        <w:t>: end after 14 days, with "stay signed in" after a year</w:t>
        <w:br/>
        <w:t>without use.</w:t>
      </w:r>
    </w:p>
    <w:p>
      <w:pPr>
        <w:pStyle w:val="ListBullet"/>
      </w:pPr>
      <w:r>
        <w:rPr>
          <w:b/>
          <w:i w:val="0"/>
        </w:rPr>
        <w:t>Backups</w:t>
      </w:r>
      <w:r>
        <w:rPr>
          <w:b w:val="0"/>
          <w:i w:val="0"/>
        </w:rPr>
        <w:t>: nightly backups of the database and the files are kept for</w:t>
        <w:br/>
        <w:t xml:space="preserve">14 days on the server and </w:t>
      </w:r>
      <w:r>
        <w:rPr>
          <w:b/>
          <w:i w:val="0"/>
        </w:rPr>
        <w:t>without a time limit</w:t>
      </w:r>
      <w:r>
        <w:rPr>
          <w:b w:val="0"/>
          <w:i w:val="0"/>
        </w:rPr>
        <w:t xml:space="preserve"> on the backup storage</w:t>
        <w:br/>
        <w:t>(Hetzner Storage Box, Germany), with a second copy at another provider</w:t>
        <w:br/>
        <w:t>(Scaleway Object Storage, Paris, France) — locked against change and deletion,</w:t>
        <w:br/>
        <w:t xml:space="preserve">also without a time limit. </w:t>
      </w:r>
      <w:r>
        <w:rPr>
          <w:b/>
          <w:i w:val="0"/>
        </w:rPr>
        <w:t>Every backup is encrypted by us before it leaves</w:t>
        <w:br/>
        <w:t>the server</w:t>
      </w:r>
      <w:r>
        <w:rPr>
          <w:b w:val="0"/>
          <w:i w:val="0"/>
        </w:rPr>
        <w:t xml:space="preserve"> (AES-256, with a key kept separately from the backups), so</w:t>
        <w:br/>
        <w:t>neither storage provider can read it. A backup cannot be edited, so data erased in</w:t>
        <w:br/>
        <w:t>the program remains in backups taken before the erasure. Backups are only</w:t>
        <w:br/>
        <w:t>read to restore the service; every erasure is recorded in an erasure log</w:t>
        <w:br/>
        <w:t>(which person's internal id, when — never the erased data), and after any</w:t>
        <w:br/>
        <w:t>restore every recorded erasure is applied again before the service is used.</w:t>
      </w:r>
    </w:p>
    <w:p>
      <w:pPr>
        <w:pStyle w:val="ListBullet"/>
      </w:pPr>
      <w:r>
        <w:rPr>
          <w:b/>
          <w:i w:val="0"/>
        </w:rPr>
        <w:t>Your rights of access and portability</w:t>
      </w:r>
      <w:r>
        <w:rPr>
          <w:b w:val="0"/>
          <w:i w:val="0"/>
        </w:rPr>
        <w:t>: the company can download a</w:t>
        <w:br/>
        <w:t>complete export of everything stored about you (one ZIP file with every</w:t>
        <w:br/>
        <w:t>record and file linked to you) and hand it to you.</w:t>
      </w:r>
    </w:p>
    <w:p>
      <w:pPr>
        <w:pStyle w:val="Heading1"/>
      </w:pPr>
      <w:r>
        <w:rPr>
          <w:b w:val="0"/>
          <w:i w:val="0"/>
        </w:rPr>
        <w:t>5. Your rights under the GDPR</w:t>
      </w:r>
    </w:p>
    <w:p>
      <w:r>
        <w:rPr>
          <w:b w:val="0"/>
          <w:i w:val="0"/>
        </w:rPr>
        <w:t>You have the following rights:</w:t>
      </w:r>
    </w:p>
    <w:p>
      <w:pPr>
        <w:pStyle w:val="ListBullet"/>
      </w:pPr>
      <w:r>
        <w:rPr>
          <w:b/>
          <w:i w:val="0"/>
        </w:rPr>
        <w:t>Access</w:t>
      </w:r>
      <w:r>
        <w:rPr>
          <w:b w:val="0"/>
          <w:i w:val="0"/>
        </w:rPr>
        <w:t xml:space="preserve"> (Art. 15): whether and which data we process, for what purpose, who receives it, how long we store it, where it comes from and whether profiling takes place</w:t>
      </w:r>
    </w:p>
    <w:p>
      <w:pPr>
        <w:pStyle w:val="ListBullet"/>
      </w:pPr>
      <w:r>
        <w:rPr>
          <w:b/>
          <w:i w:val="0"/>
        </w:rPr>
        <w:t>Rectification</w:t>
      </w:r>
      <w:r>
        <w:rPr>
          <w:b w:val="0"/>
          <w:i w:val="0"/>
        </w:rPr>
        <w:t xml:space="preserve"> (Art. 16) of inaccurate data</w:t>
      </w:r>
    </w:p>
    <w:p>
      <w:pPr>
        <w:pStyle w:val="ListBullet"/>
      </w:pPr>
      <w:r>
        <w:rPr>
          <w:b/>
          <w:i w:val="0"/>
        </w:rPr>
        <w:t>Erasure</w:t>
      </w:r>
      <w:r>
        <w:rPr>
          <w:b w:val="0"/>
          <w:i w:val="0"/>
        </w:rPr>
        <w:t xml:space="preserve"> (Art. 17)</w:t>
      </w:r>
    </w:p>
    <w:p>
      <w:pPr>
        <w:pStyle w:val="ListBullet"/>
      </w:pPr>
      <w:r>
        <w:rPr>
          <w:b/>
          <w:i w:val="0"/>
        </w:rPr>
        <w:t>Restriction of processing</w:t>
      </w:r>
      <w:r>
        <w:rPr>
          <w:b w:val="0"/>
          <w:i w:val="0"/>
        </w:rPr>
        <w:t xml:space="preserve"> (Art. 18)</w:t>
      </w:r>
    </w:p>
    <w:p>
      <w:pPr>
        <w:pStyle w:val="ListBullet"/>
      </w:pPr>
      <w:r>
        <w:rPr>
          <w:b/>
          <w:i w:val="0"/>
        </w:rPr>
        <w:t>Data portability</w:t>
      </w:r>
      <w:r>
        <w:rPr>
          <w:b w:val="0"/>
          <w:i w:val="0"/>
        </w:rPr>
        <w:t xml:space="preserve"> (Art. 20) in a common format</w:t>
      </w:r>
    </w:p>
    <w:p>
      <w:pPr>
        <w:pStyle w:val="ListBullet"/>
      </w:pPr>
      <w:r>
        <w:rPr>
          <w:b/>
          <w:i w:val="0"/>
        </w:rPr>
        <w:t>Objection</w:t>
      </w:r>
      <w:r>
        <w:rPr>
          <w:b w:val="0"/>
          <w:i w:val="0"/>
        </w:rPr>
        <w:t xml:space="preserve"> (Art. 21) to processing based on legitimate interests, and at any time to direct marketing and profiling</w:t>
      </w:r>
    </w:p>
    <w:p>
      <w:pPr>
        <w:pStyle w:val="ListBullet"/>
      </w:pPr>
      <w:r>
        <w:rPr>
          <w:b/>
          <w:i w:val="0"/>
        </w:rPr>
        <w:t>No solely automated decisions</w:t>
      </w:r>
      <w:r>
        <w:rPr>
          <w:b w:val="0"/>
          <w:i w:val="0"/>
        </w:rPr>
        <w:t xml:space="preserve"> (Art. 22): our AI assistants produce suggestions; decisions with legal effect are always made by a person</w:t>
      </w:r>
    </w:p>
    <w:p>
      <w:pPr>
        <w:pStyle w:val="ListBullet"/>
      </w:pPr>
      <w:r>
        <w:rPr>
          <w:b/>
          <w:i w:val="0"/>
        </w:rPr>
        <w:t>Withdrawal of consent</w:t>
      </w:r>
      <w:r>
        <w:rPr>
          <w:b w:val="0"/>
          <w:i w:val="0"/>
        </w:rPr>
        <w:t xml:space="preserve"> at any time with effect for the future</w:t>
      </w:r>
    </w:p>
    <w:p>
      <w:pPr>
        <w:pStyle w:val="ListBullet"/>
      </w:pPr>
      <w:r>
        <w:rPr>
          <w:b/>
          <w:i w:val="0"/>
        </w:rPr>
        <w:t>Complaint</w:t>
      </w:r>
      <w:r>
        <w:rPr>
          <w:b w:val="0"/>
          <w:i w:val="0"/>
        </w:rPr>
        <w:t xml:space="preserve"> (Art. 77) to a supervisory authority</w:t>
      </w:r>
    </w:p>
    <w:p>
      <w:r>
        <w:rPr>
          <w:b w:val="0"/>
          <w:i w:val="0"/>
        </w:rPr>
        <w:t xml:space="preserve">The competent authority is the Austrian Data Protection Authority, Barichgasse 40–42, 1030 Vienna, </w:t>
      </w:r>
      <w:r>
        <w:rPr>
          <w:b w:val="0"/>
          <w:i w:val="0"/>
        </w:rPr>
        <w:t>www.dsb.gv.at</w:t>
      </w:r>
      <w:r>
        <w:rPr>
          <w:b w:val="0"/>
          <w:i w:val="0"/>
        </w:rPr>
        <w:t>. In Germany, the data protection authority of the respective federal state is competent; information is available from the Federal Commissioner for Data Protection and Freedom of Information (BfDI).</w:t>
      </w:r>
    </w:p>
    <w:p>
      <w:pPr>
        <w:pStyle w:val="Heading1"/>
      </w:pPr>
      <w:r>
        <w:rPr>
          <w:b w:val="0"/>
          <w:i w:val="0"/>
        </w:rPr>
        <w:t>6. Data transfers to third countries</w:t>
      </w:r>
    </w:p>
    <w:p>
      <w:r>
        <w:rPr>
          <w:b w:val="0"/>
          <w:i w:val="0"/>
        </w:rPr>
        <w:t>We transfer personal data outside the EU and EEA only under the applicable requirements of Art. 44 et seq. GDPR. Depending on the provider, the following lawful transfer mechanisms may apply:</w:t>
      </w:r>
    </w:p>
    <w:p>
      <w:pPr>
        <w:pStyle w:val="ListBullet"/>
      </w:pPr>
      <w:r>
        <w:rPr>
          <w:b/>
          <w:i w:val="0"/>
        </w:rPr>
        <w:t>Adequacy decision:</w:t>
      </w:r>
      <w:r>
        <w:rPr>
          <w:b w:val="0"/>
          <w:i w:val="0"/>
        </w:rPr>
        <w:t xml:space="preserve"> the recipient actively participates in the EU-US Data Privacy Framework (DPF). You can check the status at </w:t>
      </w:r>
      <w:r>
        <w:rPr>
          <w:b w:val="0"/>
          <w:i w:val="0"/>
        </w:rPr>
        <w:t>dataprivacyframework.gov</w:t>
      </w:r>
      <w:r>
        <w:rPr>
          <w:b w:val="0"/>
          <w:i w:val="0"/>
        </w:rPr>
        <w:t>.</w:t>
      </w:r>
    </w:p>
    <w:p>
      <w:pPr>
        <w:pStyle w:val="ListBullet"/>
      </w:pPr>
      <w:r>
        <w:rPr>
          <w:b/>
          <w:i w:val="0"/>
        </w:rPr>
        <w:t>Standard Contractual Clauses (SCCs)</w:t>
      </w:r>
      <w:r>
        <w:rPr>
          <w:b w:val="0"/>
          <w:i w:val="0"/>
        </w:rPr>
        <w:t xml:space="preserve"> of the European Commission under Art. 46(2)(c) GDPR, if the recipient does not participate in the DPF.</w:t>
      </w:r>
    </w:p>
    <w:p>
      <w:r>
        <w:rPr>
          <w:b/>
          <w:i w:val="0"/>
        </w:rPr>
        <w:t>Transfers outside the EEA:</w:t>
      </w:r>
      <w:r>
        <w:rPr>
          <w:b w:val="0"/>
          <w:i w:val="0"/>
        </w:rPr>
        <w:t xml:space="preserve"> Four safeguards apply to transfers to Anthropic:</w:t>
      </w:r>
    </w:p>
    <w:p>
      <w:pPr>
        <w:pStyle w:val="ListNumber"/>
      </w:pPr>
      <w:r>
        <w:rPr>
          <w:b w:val="0"/>
          <w:i w:val="0"/>
        </w:rPr>
        <w:t>The data is encrypted in transit (TLS 1.2 or higher) and at rest.</w:t>
      </w:r>
    </w:p>
    <w:p>
      <w:pPr>
        <w:pStyle w:val="ListNumber"/>
      </w:pPr>
      <w:r>
        <w:rPr>
          <w:b w:val="0"/>
          <w:i w:val="0"/>
        </w:rPr>
        <w:t>Direct identifiers have been removed or replaced by placeholders beforehand, in particular names, telephone numbers, e-mail addresses, postal addresses, account numbers and audio recordings.</w:t>
      </w:r>
    </w:p>
    <w:p>
      <w:pPr>
        <w:pStyle w:val="ListNumber"/>
      </w:pPr>
      <w:r>
        <w:rPr>
          <w:b w:val="0"/>
          <w:i w:val="0"/>
        </w:rPr>
        <w:t>The key that links placeholders to the real data remains exclusively in the EU and is never transmitted.</w:t>
      </w:r>
    </w:p>
    <w:p>
      <w:pPr>
        <w:pStyle w:val="ListNumber"/>
      </w:pPr>
      <w:r>
        <w:rPr>
          <w:b w:val="0"/>
          <w:i w:val="0"/>
        </w:rPr>
        <w:t>There is a legal basis under Art. 44 et seq. GDPR: an adequacy decision (including the EU-US Data Privacy Framework) or the EU Standard Contractual Clauses.</w:t>
      </w:r>
    </w:p>
    <w:p>
      <w:r>
        <w:rPr>
          <w:b w:val="0"/>
          <w:i w:val="0"/>
        </w:rPr>
        <w:t>These technical measures reflect the documented architecture. For certain features, Mistral also receives personal data through its EU endpoint. Once Twilio calls or SMS are activated, phone numbers, call times and SMS content may be processed in the USA under Twilio’s DPA and the EU Standard Contractual Clauses. Meta’s terms apply to WhatsApp (section 10).</w:t>
      </w:r>
    </w:p>
    <w:p>
      <w:r>
        <w:rPr>
          <w:b w:val="0"/>
          <w:i w:val="0"/>
        </w:rPr>
        <w:t>The necesso.ai website is hosted separately from the Necesso platform by Netlify. GoDaddy manages the domain and is not the web host. The platform runs on Hetzner servers in Germany, with additional encrypted offsite backups stored at Scaleway in Paris.</w:t>
      </w:r>
    </w:p>
    <w:p>
      <w:r>
        <w:rPr>
          <w:b w:val="0"/>
          <w:i w:val="0"/>
        </w:rPr>
        <w:t>Section 15 lists which providers receive data in third countries.</w:t>
      </w:r>
    </w:p>
    <w:p>
      <w:r>
        <w:rPr>
          <w:b w:val="0"/>
          <w:i w:val="0"/>
        </w:rPr>
        <w:t>Important: Pseudonymised information remains personal data. Keeping the re-identification mapping in the EEA reduces risk but does not remove the requirement for a lawful international transfer mechanism under Art. 44 et seq. GDPR. Information about applicable contractual safeguards is available at office@necesso.ai.</w:t>
      </w:r>
    </w:p>
    <w:p>
      <w:r>
        <w:rPr>
          <w:b w:val="0"/>
          <w:i w:val="0"/>
        </w:rPr>
        <w:t>Transfers to Anthropic and other recipients outside the EEA are subject to an applicable transfer mechanism under Art. 44 et seq. GDPR. The safeguards depend on the relevant provider agreements. Pseudonymisation alone is not a transfer mechanism.</w:t>
      </w:r>
    </w:p>
    <w:p>
      <w:pPr>
        <w:pStyle w:val="Heading1"/>
      </w:pPr>
      <w:r>
        <w:rPr>
          <w:b w:val="0"/>
          <w:i w:val="0"/>
        </w:rPr>
        <w:t>7. Security of processing</w:t>
      </w:r>
    </w:p>
    <w:p>
      <w:r>
        <w:rPr>
          <w:b w:val="0"/>
          <w:i w:val="0"/>
        </w:rPr>
        <w:t xml:space="preserve">We apply technical and organisational measures under Articles 25 and 32 GDPR. The supplied technical documents describe TLS for external connections, role-based access and database tenant segregation, AES-256 encryption of selected stored secrets, and </w:t>
      </w:r>
      <w:r>
        <w:rPr>
          <w:b/>
          <w:i w:val="0"/>
        </w:rPr>
        <w:t>AES-256 encryption by Necesso of nightly backup files before transfer</w:t>
      </w:r>
      <w:r>
        <w:rPr>
          <w:b w:val="0"/>
          <w:i w:val="0"/>
        </w:rPr>
        <w:t xml:space="preserve"> to Hetzner Storage Box and Scaleway. Encryption keys for those secrets and backups are managed separately from the encrypted data.</w:t>
      </w:r>
    </w:p>
    <w:p>
      <w:r>
        <w:rPr>
          <w:b w:val="0"/>
          <w:i w:val="0"/>
        </w:rPr>
        <w:t>Backups remain on the server for 14 days and, under the current documentation, without a fixed expiry in offsite storage. They may contain data already erased from the live service. Erasures are re-applied after restoration, but the retention limit for historical copies still requires legal and technical resolution.</w:t>
      </w:r>
    </w:p>
    <w:p>
      <w:r>
        <w:rPr>
          <w:b w:val="0"/>
          <w:i w:val="0"/>
        </w:rPr>
        <w:t xml:space="preserve">The privacy gateway limits the fields transmitted to Anthropic and pseudonymises detected details, but cannot reliably recognise every personal detail. Privileged server operators technically have database access. Operator-managed full-disk encryption and end-to-end encryption of all content are not promised. See </w:t>
      </w:r>
      <w:r>
        <w:rPr>
          <w:b w:val="0"/>
          <w:i w:val="0"/>
        </w:rPr>
        <w:t>Data security</w:t>
      </w:r>
      <w:r>
        <w:rPr>
          <w:b w:val="0"/>
          <w:i w:val="0"/>
        </w:rPr>
        <w:t xml:space="preserve"> for further details.</w:t>
      </w:r>
    </w:p>
    <w:p>
      <w:pPr>
        <w:pStyle w:val="Heading1"/>
      </w:pPr>
      <w:r>
        <w:rPr>
          <w:b w:val="0"/>
          <w:i w:val="0"/>
        </w:rPr>
        <w:t>8. Communication with us</w:t>
      </w:r>
    </w:p>
    <w:p>
      <w:r>
        <w:rPr>
          <w:b w:val="0"/>
          <w:i w:val="0"/>
        </w:rPr>
        <w:t>When you contact us by phone, e-mail or online form, we process your data to handle your enquiry and the related business transaction. The data is stored for as long as the matter is ongoing or the law requires.</w:t>
      </w:r>
    </w:p>
    <w:p>
      <w:pPr>
        <w:pStyle w:val="ListBullet"/>
      </w:pPr>
      <w:r>
        <w:rPr>
          <w:b/>
          <w:i w:val="0"/>
        </w:rPr>
        <w:t>Phone:</w:t>
      </w:r>
      <w:r>
        <w:rPr>
          <w:b w:val="0"/>
          <w:i w:val="0"/>
        </w:rPr>
        <w:t xml:space="preserve"> call data is stored in pseudonymised form on the device and at the telecommunications provider. Name and phone number may be forwarded by e-mail to answer the enquiry. We do not record calls with us.</w:t>
      </w:r>
    </w:p>
    <w:p>
      <w:pPr>
        <w:pStyle w:val="ListBullet"/>
      </w:pPr>
      <w:r>
        <w:rPr>
          <w:b/>
          <w:i w:val="0"/>
        </w:rPr>
        <w:t>E-mail:</w:t>
      </w:r>
      <w:r>
        <w:rPr>
          <w:b w:val="0"/>
          <w:i w:val="0"/>
        </w:rPr>
        <w:t xml:space="preserve"> data is stored on the device and on the e-mail server.</w:t>
      </w:r>
    </w:p>
    <w:p>
      <w:pPr>
        <w:pStyle w:val="ListBullet"/>
      </w:pPr>
      <w:r>
        <w:rPr>
          <w:b/>
          <w:i w:val="0"/>
        </w:rPr>
        <w:t>Website contact and account deletion form:</w:t>
      </w:r>
      <w:r>
        <w:rPr>
          <w:b w:val="0"/>
          <w:i w:val="0"/>
        </w:rPr>
        <w:t xml:space="preserve"> Contact links open your e-mail application. The account deletion form prepares the message draft entirely in your browser; form entries are not transmitted to a website server. We receive your request only when you send the e-mail yourself.</w:t>
      </w:r>
    </w:p>
    <w:p>
      <w:r>
        <w:rPr>
          <w:b w:val="0"/>
          <w:i w:val="0"/>
        </w:rPr>
        <w:t>The data is deleted once the matter is concluded and no statutory retention obligation applies.</w:t>
      </w:r>
    </w:p>
    <w:p>
      <w:r>
        <w:rPr>
          <w:b/>
          <w:i w:val="0"/>
        </w:rPr>
        <w:t>Legal bases:</w:t>
      </w:r>
      <w:r>
        <w:rPr>
          <w:b w:val="0"/>
          <w:i w:val="0"/>
        </w:rPr>
        <w:t xml:space="preserve"> Art. 6(1)(a) GDPR (consent), (b) (contract or pre-contractual measures, e.g. a quote) and (f) (legitimate interest in professional business communication).</w:t>
      </w:r>
    </w:p>
    <w:p>
      <w:r>
        <w:rPr>
          <w:b/>
          <w:i w:val="0"/>
        </w:rPr>
        <w:t>Email providers:</w:t>
      </w:r>
      <w:r>
        <w:rPr>
          <w:b w:val="0"/>
          <w:i w:val="0"/>
        </w:rPr>
        <w:t xml:space="preserve"> Outgoing email is sent through Scaleway in France (recipient, name, subject, message and attachments). Incoming email uses Migadu mailboxes in the EEA or Switzerland, with OVHcloud infrastructure in France and the Netherlands.</w:t>
      </w:r>
    </w:p>
    <w:p>
      <w:pPr>
        <w:pStyle w:val="Heading1"/>
      </w:pPr>
      <w:r>
        <w:rPr>
          <w:b w:val="0"/>
          <w:i w:val="0"/>
        </w:rPr>
        <w:t>9. AI assistants (Mistral and Anthropic)</w:t>
      </w:r>
    </w:p>
    <w:p>
      <w:r>
        <w:rPr>
          <w:b w:val="0"/>
          <w:i w:val="0"/>
        </w:rPr>
        <w:t>Necesso uses AI models from two providers. Their results are proposals: the</w:t>
        <w:br/>
        <w:t>assistant changes nothing unless you confirm it; drafts (quotes, dunning</w:t>
        <w:br/>
        <w:t>letters, replies to e-mails) are reviewed and sent by people.</w:t>
      </w:r>
    </w:p>
    <w:p>
      <w:r>
        <w:rPr>
          <w:b/>
          <w:i w:val="0"/>
        </w:rPr>
        <w:t>Mistral AI (processing in the EU).</w:t>
      </w:r>
      <w:r>
        <w:rPr>
          <w:b w:val="0"/>
          <w:i w:val="0"/>
        </w:rPr>
        <w:t xml:space="preserve"> For companies in the EU, the following helpers run on Mistral AI's EU endpoint</w:t>
        <w:br/>
        <w:t>(</w:t>
      </w:r>
      <w:r>
        <w:rPr>
          <w:b w:val="0"/>
          <w:i w:val="0"/>
        </w:rPr>
        <w:t>api.eu.mistral.ai</w:t>
      </w:r>
      <w:r>
        <w:rPr>
          <w:b w:val="0"/>
          <w:i w:val="0"/>
        </w:rPr>
        <w:t>, fixed in the program code). For the in-app assistant the</w:t>
        <w:br/>
        <w:t>provider is a server setting, which we keep on Mistral; were it ever switched</w:t>
        <w:br/>
        <w:t>to Anthropic, the assistant's requests would pass the privacy gateway like the</w:t>
        <w:br/>
        <w:t>other automatic steps:</w:t>
      </w:r>
    </w:p>
    <w:p>
      <w:pPr>
        <w:pStyle w:val="ListBullet"/>
      </w:pPr>
      <w:r>
        <w:rPr>
          <w:b w:val="0"/>
          <w:i w:val="0"/>
        </w:rPr>
        <w:t>the in-app assistant (questions and the business data it reads to answer;</w:t>
        <w:br/>
        <w:t>in its help mode only the question and the product's own help articles);</w:t>
      </w:r>
    </w:p>
    <w:p>
      <w:pPr>
        <w:pStyle w:val="ListBullet"/>
      </w:pPr>
      <w:r>
        <w:rPr>
          <w:b w:val="0"/>
          <w:i w:val="0"/>
        </w:rPr>
        <w:t>reading a shop receipt a technician photographs on a job (the photo and</w:t>
        <w:br/>
        <w:t>what was read from it);</w:t>
      </w:r>
    </w:p>
    <w:p>
      <w:pPr>
        <w:pStyle w:val="ListBullet"/>
      </w:pPr>
      <w:r>
        <w:rPr>
          <w:b w:val="0"/>
          <w:i w:val="0"/>
        </w:rPr>
        <w:t>the AI search line in the article catalogue (the typed sentence, the</w:t>
        <w:br/>
        <w:t>company's supplier names and trade codes — never an article, never a</w:t>
        <w:br/>
        <w:t>price);</w:t>
      </w:r>
    </w:p>
    <w:p>
      <w:pPr>
        <w:pStyle w:val="ListBullet"/>
      </w:pPr>
      <w:r>
        <w:rPr>
          <w:b w:val="0"/>
          <w:i w:val="0"/>
        </w:rPr>
        <w:t>spoken input: the recording, which Voxtral turns into text, and the text,</w:t>
        <w:br/>
        <w:t>to understand it (see "Voice on site");</w:t>
      </w:r>
    </w:p>
    <w:p>
      <w:pPr>
        <w:pStyle w:val="ListBullet"/>
      </w:pPr>
      <w:r>
        <w:rPr>
          <w:b w:val="0"/>
          <w:i w:val="0"/>
        </w:rPr>
        <w:t>marking names and addresses for the privacy gateway (below).</w:t>
      </w:r>
    </w:p>
    <w:p>
      <w:r>
        <w:rPr>
          <w:b w:val="0"/>
          <w:i w:val="0"/>
        </w:rPr>
        <w:t xml:space="preserve">Every automatic AI step — at Mistral and at Anthropic — receives </w:t>
      </w:r>
      <w:r>
        <w:rPr>
          <w:b/>
          <w:i w:val="0"/>
        </w:rPr>
        <w:t>only the</w:t>
        <w:br/>
        <w:t>fields it needs for its task</w:t>
      </w:r>
      <w:r>
        <w:rPr>
          <w:b w:val="0"/>
          <w:i w:val="0"/>
        </w:rPr>
        <w:t xml:space="preserve"> (for example a dunning draft gets the invoice</w:t>
        <w:br/>
        <w:t>number, amounts and dates, not the customer's whole record).</w:t>
      </w:r>
    </w:p>
    <w:p>
      <w:r>
        <w:rPr>
          <w:b w:val="0"/>
          <w:i w:val="0"/>
        </w:rPr>
        <w:t>Under Mistral's terms, account configuration, keys, billing, access</w:t>
        <w:br/>
        <w:t>management and usage statistics may be processed outside the EU. The correct</w:t>
        <w:br/>
        <w:t xml:space="preserve">statement is therefore </w:t>
      </w:r>
      <w:r>
        <w:rPr>
          <w:b/>
          <w:i w:val="0"/>
        </w:rPr>
        <w:t>processing in the EU</w:t>
      </w:r>
      <w:r>
        <w:rPr>
          <w:b w:val="0"/>
          <w:i w:val="0"/>
        </w:rPr>
        <w:t xml:space="preserve"> — not that all data stays in</w:t>
        <w:br/>
        <w:t>the EU.</w:t>
      </w:r>
    </w:p>
    <w:p>
      <w:r>
        <w:rPr>
          <w:b/>
          <w:i w:val="0"/>
        </w:rPr>
        <w:t>Anthropic (USA) — only pseudonymised, through the privacy gateway.</w:t>
      </w:r>
      <w:r>
        <w:rPr>
          <w:b w:val="0"/>
          <w:i w:val="0"/>
        </w:rPr>
        <w:t xml:space="preserve"> The</w:t>
        <w:br/>
        <w:t>other automatic steps run at Anthropic, a US company, on its global endpoint:</w:t>
        <w:br/>
        <w:t>sorting e-mail and drafting replies, insurance claim reports, quote and</w:t>
        <w:br/>
        <w:t>dunning drafts, dispatch proposals and report summaries. For a company in the</w:t>
        <w:br/>
        <w:t xml:space="preserve">EU </w:t>
      </w:r>
      <w:r>
        <w:rPr>
          <w:b/>
          <w:i w:val="0"/>
        </w:rPr>
        <w:t>every</w:t>
      </w:r>
      <w:r>
        <w:rPr>
          <w:b w:val="0"/>
          <w:i w:val="0"/>
        </w:rPr>
        <w:t xml:space="preserve"> such request first passes through our privacy gateway, which runs</w:t>
        <w:br/>
        <w:t>on our own servers in the EU:</w:t>
      </w:r>
    </w:p>
    <w:p>
      <w:pPr>
        <w:pStyle w:val="ListNumber"/>
      </w:pPr>
      <w:r>
        <w:rPr>
          <w:b w:val="0"/>
          <w:i w:val="0"/>
        </w:rPr>
        <w:t>It looks for names of customers, staff, suppliers and contact persons,</w:t>
        <w:br/>
        <w:t>company names, addresses, phone numbers, e-mail addresses, IBANs, licence</w:t>
        <w:br/>
        <w:t>plates and tax/VAT numbers — from the company's records (for a request made</w:t>
        <w:br/>
        <w:t>by a person, the records that person is allowed to see) and by fixed</w:t>
        <w:br/>
        <w:t>patterns; in addition Mistral (EU endpoint) marks names and addresses in</w:t>
        <w:br/>
        <w:t>free text.</w:t>
      </w:r>
    </w:p>
    <w:p>
      <w:pPr>
        <w:pStyle w:val="ListNumber"/>
      </w:pPr>
      <w:r>
        <w:rPr>
          <w:b w:val="0"/>
          <w:i w:val="0"/>
        </w:rPr>
        <w:t xml:space="preserve">It replaces each finding with a placeholder such as </w:t>
      </w:r>
      <w:r>
        <w:rPr>
          <w:b w:val="0"/>
          <w:i w:val="0"/>
        </w:rPr>
        <w:t>[CUSTOMER_12]</w:t>
      </w:r>
      <w:r>
        <w:rPr>
          <w:b w:val="0"/>
          <w:i w:val="0"/>
        </w:rPr>
        <w:t xml:space="preserve"> or</w:t>
        <w:br/>
      </w:r>
      <w:r>
        <w:rPr>
          <w:b w:val="0"/>
          <w:i w:val="0"/>
        </w:rPr>
        <w:t>[PHONE_2]</w:t>
      </w:r>
      <w:r>
        <w:rPr>
          <w:b w:val="0"/>
          <w:i w:val="0"/>
        </w:rPr>
        <w:t>. A placeholder is valid only for this one request: the link</w:t>
        <w:br/>
        <w:t>between a placeholder and its value exists only in our server's memory</w:t>
        <w:br/>
        <w:t>while the request runs and never leaves the EU. Values from the company's records that the gateway recognises are kept</w:t>
        <w:br/>
        <w:t>encrypted in our database in the EU; for a request made by a person, other</w:t>
        <w:br/>
        <w:t>findings get only a temporary reference for that one request.</w:t>
      </w:r>
    </w:p>
    <w:p>
      <w:pPr>
        <w:pStyle w:val="ListNumber"/>
      </w:pPr>
      <w:r>
        <w:rPr>
          <w:b w:val="0"/>
          <w:i w:val="0"/>
        </w:rPr>
        <w:t>It checks the text once more before sending. If it still finds a known</w:t>
        <w:br/>
        <w:t xml:space="preserve">value, </w:t>
      </w:r>
      <w:r>
        <w:rPr>
          <w:b/>
          <w:i w:val="0"/>
        </w:rPr>
        <w:t>nothing is sent</w:t>
      </w:r>
      <w:r>
        <w:rPr>
          <w:b w:val="0"/>
          <w:i w:val="0"/>
        </w:rPr>
        <w:t>; a person at the company sees the task on the</w:t>
        <w:br/>
        <w:t>"Approvals" page.</w:t>
      </w:r>
    </w:p>
    <w:p>
      <w:pPr>
        <w:pStyle w:val="ListNumber"/>
      </w:pPr>
      <w:r>
        <w:rPr>
          <w:b w:val="0"/>
          <w:i w:val="0"/>
        </w:rPr>
        <w:t>The answer is re-identified in the EU: only the placeholders issued for</w:t>
        <w:br/>
        <w:t>this request are replaced — and, for a request made by a person, only with</w:t>
        <w:br/>
        <w:t>values from records that person may still see at that moment. Anything</w:t>
        <w:br/>
        <w:t>else stays a placeholder; something that merely looks like a placeholder</w:t>
        <w:br/>
        <w:t>(for example one typed into a message) is never filled in.</w:t>
      </w:r>
    </w:p>
    <w:p>
      <w:r>
        <w:rPr>
          <w:b w:val="0"/>
          <w:i w:val="0"/>
        </w:rPr>
        <w:t>Anthropic therefore receives the work content with placeholders instead of</w:t>
        <w:br/>
        <w:t xml:space="preserve">those details. This is </w:t>
      </w:r>
      <w:r>
        <w:rPr>
          <w:b/>
          <w:i w:val="0"/>
        </w:rPr>
        <w:t>pseudonymised</w:t>
      </w:r>
      <w:r>
        <w:rPr>
          <w:b w:val="0"/>
          <w:i w:val="0"/>
        </w:rPr>
        <w:t xml:space="preserve"> data, not anonymous data: details</w:t>
        <w:br/>
        <w:t>that identify a person without a name (an unusual damage description, or a</w:t>
        <w:br/>
        <w:t>date and place together) are not recognised by the gateway. Transfer mechanism: Transfers outside the EEA are subject to the applicable legal basis and safeguards under Art. 44 et seq. GDPR.</w:t>
      </w:r>
    </w:p>
    <w:p>
      <w:r>
        <w:rPr>
          <w:b/>
          <w:i w:val="0"/>
        </w:rPr>
        <w:t>When the check fails or is incomplete.</w:t>
      </w:r>
      <w:r>
        <w:rPr>
          <w:b w:val="0"/>
          <w:i w:val="0"/>
        </w:rPr>
        <w:t xml:space="preserve"> If Mistral's marking is</w:t>
        <w:br/>
        <w:t>unavailable, too slow, returns an unclear result or reports itself</w:t>
        <w:br/>
        <w:t>incomplete, or the gateway cannot complete its check for another reason, the</w:t>
        <w:br/>
        <w:t xml:space="preserve">request is </w:t>
      </w:r>
      <w:r>
        <w:rPr>
          <w:b/>
          <w:i w:val="0"/>
        </w:rPr>
        <w:t>not</w:t>
      </w:r>
      <w:r>
        <w:rPr>
          <w:b w:val="0"/>
          <w:i w:val="0"/>
        </w:rPr>
        <w:t xml:space="preserve"> sent to Anthropic; it waits for a person at the company on</w:t>
        <w:br/>
        <w:t>the "Approvals" page. Such cases are counted monthly and reported to our</w:t>
        <w:br/>
        <w:t>operations. (While the in-app assistant runs on Mistral in the EU, as</w:t>
        <w:br/>
        <w:t>configured today, its requests do not pass the gateway at all.)</w:t>
      </w:r>
    </w:p>
    <w:p>
      <w:r>
        <w:rPr>
          <w:b/>
          <w:i w:val="0"/>
        </w:rPr>
        <w:t>Limits of recognition.</w:t>
      </w:r>
      <w:r>
        <w:rPr>
          <w:b w:val="0"/>
          <w:i w:val="0"/>
        </w:rPr>
        <w:t xml:space="preserve"> The gateway recognises what is in the company's</w:t>
        <w:br/>
        <w:t>records and what its fixed patterns describe; Mistral additionally marks</w:t>
        <w:br/>
        <w:t>names and addresses. A name or detail that none of these recognises — an</w:t>
        <w:br/>
        <w:t>unusual nickname or spelling, or a description that identifies a person</w:t>
        <w:br/>
        <w:t>without a name — can reach Anthropic as written; the gateway cannot detect</w:t>
        <w:br/>
        <w:t>that it missed it.</w:t>
      </w:r>
    </w:p>
    <w:p>
      <w:r>
        <w:rPr>
          <w:b/>
          <w:i w:val="0"/>
        </w:rPr>
        <w:t>Evidence.</w:t>
      </w:r>
      <w:r>
        <w:rPr>
          <w:b w:val="0"/>
          <w:i w:val="0"/>
        </w:rPr>
        <w:t xml:space="preserve"> Before any request is sent to Anthropic we record that it is</w:t>
        <w:br/>
        <w:t>about to be sent; if that record cannot be written, nothing is sent. After</w:t>
        <w:br/>
        <w:t>the request we record its outcome (sent, handled in the EU, refused or</w:t>
        <w:br/>
        <w:t>provider error). Both records hold company, step, provider, number of</w:t>
        <w:br/>
        <w:t xml:space="preserve">placeholders per type and times — </w:t>
      </w:r>
      <w:r>
        <w:rPr>
          <w:b/>
          <w:i w:val="0"/>
        </w:rPr>
        <w:t>never</w:t>
      </w:r>
      <w:r>
        <w:rPr>
          <w:b w:val="0"/>
          <w:i w:val="0"/>
        </w:rPr>
        <w:t xml:space="preserve"> a name or any other value. A</w:t>
        <w:br/>
        <w:t>request without an outcome record (for example after a server crash) counts</w:t>
        <w:br/>
        <w:t>as having an unknown outcome. The company can view and download</w:t>
        <w:br/>
        <w:t>this evidence per month on its "Protokoll" page.</w:t>
      </w:r>
    </w:p>
    <w:p>
      <w:r>
        <w:rPr>
          <w:b/>
          <w:i w:val="0"/>
        </w:rPr>
        <w:t>Companies in the USA.</w:t>
      </w:r>
      <w:r>
        <w:rPr>
          <w:b w:val="0"/>
          <w:i w:val="0"/>
        </w:rPr>
        <w:t xml:space="preserve"> A company established in the USA has its requests</w:t>
        <w:br/>
        <w:t>sent to Anthropic without the gateway.</w:t>
      </w:r>
    </w:p>
    <w:p>
      <w:pPr>
        <w:pStyle w:val="Heading1"/>
      </w:pPr>
      <w:r>
        <w:rPr>
          <w:b w:val="0"/>
          <w:i w:val="0"/>
        </w:rPr>
        <w:t>10. WhatsApp messages</w:t>
      </w:r>
    </w:p>
    <w:p>
      <w:r>
        <w:rPr>
          <w:b w:val="0"/>
          <w:i w:val="0"/>
        </w:rPr>
        <w:t xml:space="preserve">From activation — when a company connects its </w:t>
      </w:r>
      <w:r>
        <w:rPr>
          <w:b/>
          <w:i w:val="0"/>
        </w:rPr>
        <w:t>own</w:t>
      </w:r>
      <w:r>
        <w:rPr>
          <w:b w:val="0"/>
          <w:i w:val="0"/>
        </w:rPr>
        <w:t xml:space="preserve"> WhatsApp number to</w:t>
        <w:br/>
        <w:t>Necesso (through the WhatsApp Business Platform of Meta Platforms Ireland</w:t>
        <w:br/>
        <w:t>Ltd) — Meta delivers the messages customers send to that number to Necesso</w:t>
        <w:br/>
        <w:t>and sends the company's replies. Meta and Necesso process: texts, photos, documents, voice notes,</w:t>
        <w:br/>
        <w:t>phone numbers and names, and the approved message templates. Meta processes</w:t>
        <w:br/>
        <w:t>WhatsApp traffic under its own terms; the number remains the company's. The</w:t>
        <w:br/>
        <w:t>company's access token is stored encrypted with us. Voice notes are turned</w:t>
        <w:br/>
        <w:t xml:space="preserve">into text on our own server. </w:t>
      </w:r>
      <w:r>
        <w:rPr>
          <w:b/>
          <w:i w:val="0"/>
        </w:rPr>
        <w:t>An EU company's WhatsApp texts are never sent</w:t>
        <w:br/>
        <w:t>to Anthropic.</w:t>
      </w:r>
    </w:p>
    <w:p>
      <w:pPr>
        <w:pStyle w:val="Heading1"/>
      </w:pPr>
      <w:r>
        <w:rPr>
          <w:b w:val="0"/>
          <w:i w:val="0"/>
        </w:rPr>
        <w:t>11. Call recording and transcription</w:t>
      </w:r>
    </w:p>
    <w:p>
      <w:r>
        <w:rPr>
          <w:b w:val="0"/>
          <w:i w:val="0"/>
        </w:rPr>
        <w:t>From activation — when a company switches on a phone number in Necesso</w:t>
        <w:br/>
        <w:t>(through Twilio Ireland Ltd, region IE1, Ireland) — calls to that number work</w:t>
        <w:br/>
        <w:t>as follows:</w:t>
      </w:r>
    </w:p>
    <w:p>
      <w:pPr>
        <w:pStyle w:val="ListBullet"/>
      </w:pPr>
      <w:r>
        <w:rPr>
          <w:b/>
          <w:i w:val="0"/>
        </w:rPr>
        <w:t>Announcement:</w:t>
      </w:r>
      <w:r>
        <w:rPr>
          <w:b w:val="0"/>
          <w:i w:val="0"/>
        </w:rPr>
        <w:t xml:space="preserve"> at the start of every call the caller hears an</w:t>
        <w:br/>
        <w:t>announcement. The default text is "This call will be transcribed." (in</w:t>
        <w:br/>
        <w:t>German: "Dieses Gespräch wird transkribiert."); the company can set its own</w:t>
        <w:br/>
        <w:t>text.</w:t>
      </w:r>
    </w:p>
    <w:p>
      <w:pPr>
        <w:pStyle w:val="ListBullet"/>
      </w:pPr>
      <w:r>
        <w:rPr>
          <w:b w:val="0"/>
          <w:i w:val="0"/>
        </w:rPr>
        <w:t xml:space="preserve">The call is forwarded to the company's phone and </w:t>
      </w:r>
      <w:r>
        <w:rPr>
          <w:b/>
          <w:i w:val="0"/>
        </w:rPr>
        <w:t>recorded</w:t>
      </w:r>
      <w:r>
        <w:rPr>
          <w:b w:val="0"/>
          <w:i w:val="0"/>
        </w:rPr>
        <w:t>.</w:t>
      </w:r>
    </w:p>
    <w:p>
      <w:pPr>
        <w:pStyle w:val="ListBullet"/>
      </w:pPr>
      <w:r>
        <w:rPr>
          <w:b w:val="0"/>
          <w:i w:val="0"/>
        </w:rPr>
        <w:t xml:space="preserve">The recording is fetched into our file store and </w:t>
      </w:r>
      <w:r>
        <w:rPr>
          <w:b/>
          <w:i w:val="0"/>
        </w:rPr>
        <w:t>deleted at Twilio</w:t>
        <w:br/>
        <w:t>immediately after</w:t>
      </w:r>
      <w:r>
        <w:rPr>
          <w:b w:val="0"/>
          <w:i w:val="0"/>
        </w:rPr>
        <w:t>.</w:t>
      </w:r>
    </w:p>
    <w:p>
      <w:pPr>
        <w:pStyle w:val="ListBullet"/>
      </w:pPr>
      <w:r>
        <w:rPr>
          <w:b w:val="0"/>
          <w:i w:val="0"/>
        </w:rPr>
        <w:t xml:space="preserve">The </w:t>
      </w:r>
      <w:r>
        <w:rPr>
          <w:b/>
          <w:i w:val="0"/>
        </w:rPr>
        <w:t>transcript</w:t>
      </w:r>
      <w:r>
        <w:rPr>
          <w:b w:val="0"/>
          <w:i w:val="0"/>
        </w:rPr>
        <w:t xml:space="preserve"> is made on </w:t>
      </w:r>
      <w:r>
        <w:rPr>
          <w:b/>
          <w:i w:val="0"/>
        </w:rPr>
        <w:t>our own server</w:t>
      </w:r>
      <w:r>
        <w:rPr>
          <w:b w:val="0"/>
          <w:i w:val="0"/>
        </w:rPr>
        <w:t xml:space="preserve"> (faster-whisper) — no AI</w:t>
        <w:br/>
        <w:t>provider receives the recording. An EU company's transcript never goes to</w:t>
        <w:br/>
        <w:t>Anthropic.</w:t>
      </w:r>
    </w:p>
    <w:p>
      <w:pPr>
        <w:pStyle w:val="ListBullet"/>
      </w:pPr>
      <w:r>
        <w:rPr>
          <w:b w:val="0"/>
          <w:i w:val="0"/>
        </w:rPr>
        <w:t xml:space="preserve">The </w:t>
      </w:r>
      <w:r>
        <w:rPr>
          <w:b/>
          <w:i w:val="0"/>
        </w:rPr>
        <w:t>audio file</w:t>
      </w:r>
      <w:r>
        <w:rPr>
          <w:b w:val="0"/>
          <w:i w:val="0"/>
        </w:rPr>
        <w:t xml:space="preserve"> is deleted </w:t>
      </w:r>
      <w:r>
        <w:rPr>
          <w:b/>
          <w:i w:val="0"/>
        </w:rPr>
        <w:t>14 days after its transcript exists</w:t>
      </w:r>
      <w:r>
        <w:rPr>
          <w:b w:val="0"/>
          <w:i w:val="0"/>
        </w:rPr>
        <w:t>; the</w:t>
        <w:br/>
        <w:t>transcript stays with the case. A recording that could not be transcribed</w:t>
        <w:br/>
        <w:t>has no transcript and is kept until it is deleted. Copies in our internal</w:t>
        <w:br/>
        <w:t>backups remain (see "Retention").</w:t>
      </w:r>
    </w:p>
    <w:p>
      <w:r>
        <w:rPr>
          <w:b w:val="0"/>
          <w:i w:val="0"/>
        </w:rPr>
        <w:t>SMS to that number land in the company's inbox; the office can send SMS from</w:t>
        <w:br/>
        <w:t>the number. Twilio processes the phone numbers and SMS texts in region IE1.</w:t>
      </w:r>
    </w:p>
    <w:p>
      <w:pPr>
        <w:pStyle w:val="Heading1"/>
      </w:pPr>
      <w:r>
        <w:rPr>
          <w:b w:val="0"/>
          <w:i w:val="0"/>
        </w:rPr>
        <w:t>12. Bank connection</w:t>
      </w:r>
    </w:p>
    <w:p>
      <w:r>
        <w:rPr>
          <w:b w:val="0"/>
          <w:i w:val="0"/>
        </w:rPr>
        <w:t>From activation — when a company connects its own business account (account</w:t>
        <w:br/>
        <w:t>information service under PSD2 through Enable Banking Oy, Espoo, Finland — a</w:t>
        <w:br/>
        <w:t xml:space="preserve">licensed provider, FIN-FSA) — a person at the company signs in at </w:t>
      </w:r>
      <w:r>
        <w:rPr>
          <w:b/>
          <w:i w:val="0"/>
        </w:rPr>
        <w:t>their</w:t>
      </w:r>
      <w:r>
        <w:rPr>
          <w:b w:val="0"/>
          <w:i w:val="0"/>
        </w:rPr>
        <w:t xml:space="preserve"> bank and gives</w:t>
        <w:br/>
        <w:t>consent. Enable Banking reads the account's transactions and passes them to</w:t>
        <w:br/>
        <w:t>Necesso: IBAN and balance, and per transaction the payer's name and IBAN, the</w:t>
        <w:br/>
        <w:t>amount and the reference text — which is also personal data of the company's</w:t>
        <w:br/>
        <w:t>customers. Enable Banking states that it stores no account data; the</w:t>
        <w:br/>
        <w:t>transactions are kept in our database in Germany. The consent session is</w:t>
        <w:br/>
        <w:t>stored encrypted with us. Without a connection a company can upload statement</w:t>
        <w:br/>
        <w:t>files; no provider is involved in that.</w:t>
      </w:r>
    </w:p>
    <w:p>
      <w:pPr>
        <w:pStyle w:val="Heading1"/>
      </w:pPr>
      <w:r>
        <w:rPr>
          <w:b w:val="0"/>
          <w:i w:val="0"/>
        </w:rPr>
        <w:t>13. Payments, accounting and wholesalers</w:t>
      </w:r>
    </w:p>
    <w:p>
      <w:r>
        <w:rPr>
          <w:b w:val="0"/>
          <w:i w:val="0"/>
        </w:rPr>
        <w:t>These providers are used only from activation — when a company switches them</w:t>
        <w:br/>
        <w:t>on for itself and connects them:</w:t>
      </w:r>
    </w:p>
    <w:p>
      <w:pPr>
        <w:pStyle w:val="ListBullet"/>
      </w:pPr>
      <w:r>
        <w:rPr>
          <w:b/>
          <w:i w:val="0"/>
        </w:rPr>
        <w:t>Online payments with Stripe</w:t>
      </w:r>
      <w:r>
        <w:rPr>
          <w:b w:val="0"/>
          <w:i w:val="0"/>
        </w:rPr>
        <w:t xml:space="preserve"> (Stripe Payments Europe Ltd., Ireland) and</w:t>
        <w:br/>
      </w:r>
      <w:r>
        <w:rPr>
          <w:b/>
          <w:i w:val="0"/>
        </w:rPr>
        <w:t>Adyen</w:t>
      </w:r>
      <w:r>
        <w:rPr>
          <w:b w:val="0"/>
          <w:i w:val="0"/>
        </w:rPr>
        <w:t xml:space="preserve"> (Adyen N.V., the Netherlands): the company's customers pay an</w:t>
        <w:br/>
        <w:t xml:space="preserve">invoice on the provider's payment page (hosted checkout). </w:t>
      </w:r>
      <w:r>
        <w:rPr>
          <w:b/>
          <w:i w:val="0"/>
        </w:rPr>
        <w:t>Necesso never sees</w:t>
        <w:br/>
        <w:t>or stores card data.</w:t>
      </w:r>
      <w:r>
        <w:rPr>
          <w:b w:val="0"/>
          <w:i w:val="0"/>
        </w:rPr>
        <w:t xml:space="preserve"> Necesso stores the payment status, the amounts, the</w:t>
        <w:br/>
        <w:t>fees and the payouts to the company.</w:t>
      </w:r>
    </w:p>
    <w:p>
      <w:pPr>
        <w:pStyle w:val="ListBullet"/>
      </w:pPr>
      <w:r>
        <w:rPr>
          <w:b/>
          <w:i w:val="0"/>
        </w:rPr>
        <w:t>Bank connection through Enable Banking</w:t>
      </w:r>
      <w:r>
        <w:rPr>
          <w:b w:val="0"/>
          <w:i w:val="0"/>
        </w:rPr>
        <w:t xml:space="preserve"> (Enable Banking Oy, Finland):</w:t>
        <w:br/>
        <w:t>read-only access to the account transactions — amount, date, reference, the</w:t>
        <w:br/>
        <w:t>payer's name and IBAN (see "Bank connection").</w:t>
      </w:r>
    </w:p>
    <w:p>
      <w:pPr>
        <w:pStyle w:val="ListBullet"/>
      </w:pPr>
      <w:r>
        <w:rPr>
          <w:b/>
          <w:i w:val="0"/>
        </w:rPr>
        <w:t>Accounting exports for DATEV, BMD and Lexware Office</w:t>
      </w:r>
      <w:r>
        <w:rPr>
          <w:b w:val="0"/>
          <w:i w:val="0"/>
        </w:rPr>
        <w:t>: the company's own</w:t>
        <w:br/>
        <w:t>data goes to its own tax adviser or into its own account with that provider.</w:t>
        <w:br/>
        <w:t>The company chooses these recipients itself; they are not processors of</w:t>
        <w:br/>
        <w:t>Necesso.</w:t>
      </w:r>
    </w:p>
    <w:p>
      <w:pPr>
        <w:pStyle w:val="ListBullet"/>
      </w:pPr>
      <w:r>
        <w:rPr>
          <w:b/>
          <w:i w:val="0"/>
        </w:rPr>
        <w:t>Wholesaler connections through Open Masterdata and IDS Connect</w:t>
      </w:r>
      <w:r>
        <w:rPr>
          <w:b w:val="0"/>
          <w:i w:val="0"/>
        </w:rPr>
        <w:t>: article</w:t>
        <w:br/>
        <w:t>data (master data, prices) comes from the company's wholesaler, and orders go</w:t>
        <w:br/>
        <w:t>to it. The company chooses its wholesaler itself; the wholesaler is not a</w:t>
        <w:br/>
        <w:t>processor of Necesso.</w:t>
      </w:r>
    </w:p>
    <w:p>
      <w:pPr>
        <w:pStyle w:val="Heading1"/>
      </w:pPr>
      <w:r>
        <w:rPr>
          <w:b w:val="0"/>
          <w:i w:val="0"/>
        </w:rPr>
        <w:t>14. Receipt reading</w:t>
      </w:r>
    </w:p>
    <w:p>
      <w:r>
        <w:rPr>
          <w:b w:val="0"/>
          <w:i w:val="0"/>
        </w:rPr>
        <w:t>When a technician photographs a shop receipt on a job, the photo is stored</w:t>
        <w:br/>
        <w:t>once in our file store. It is read by Mistral AI on the EU endpoint — in two</w:t>
        <w:br/>
        <w:t>steps: first the photo is read as text, then the fields are filled from the</w:t>
        <w:br/>
        <w:t>text alone. The photo goes to no other provider; if Mistral is unavailable,</w:t>
        <w:br/>
        <w:t>the receipt is typed in by hand.</w:t>
      </w:r>
    </w:p>
    <w:p>
      <w:pPr>
        <w:pStyle w:val="Heading1"/>
      </w:pPr>
      <w:r>
        <w:rPr>
          <w:b w:val="0"/>
          <w:i w:val="0"/>
        </w:rPr>
        <w:t>15. Voice on site</w:t>
      </w:r>
    </w:p>
    <w:p>
      <w:r>
        <w:rPr>
          <w:b w:val="0"/>
          <w:i w:val="0"/>
        </w:rPr>
        <w:t>Dictation, "speak instead of fill in" and the voice assistant record in the</w:t>
        <w:br/>
        <w:t>browser; the microphone is used only when you tap it. The recording goes to</w:t>
        <w:br/>
        <w:t xml:space="preserve">our server and from there to </w:t>
      </w:r>
      <w:r>
        <w:rPr>
          <w:b/>
          <w:i w:val="0"/>
        </w:rPr>
        <w:t>Mistral AI's Voxtral</w:t>
      </w:r>
      <w:r>
        <w:rPr>
          <w:b w:val="0"/>
          <w:i w:val="0"/>
        </w:rPr>
        <w:t xml:space="preserve"> — for a company in the</w:t>
        <w:br/>
        <w:t>EU always to Mistral's EU endpoint. Voxtral recognises the spoken language and</w:t>
        <w:br/>
        <w:t xml:space="preserve">turns the recording into text. For </w:t>
      </w:r>
      <w:r>
        <w:rPr>
          <w:b/>
          <w:i w:val="0"/>
        </w:rPr>
        <w:t>German, English, Hungarian and Turkish</w:t>
      </w:r>
      <w:r>
        <w:rPr>
          <w:b w:val="0"/>
          <w:i w:val="0"/>
        </w:rPr>
        <w:t xml:space="preserve"> (the setting on our servers)</w:t>
        <w:br/>
        <w:t xml:space="preserve">we use Voxtral's text; in any other language </w:t>
      </w:r>
      <w:r>
        <w:rPr>
          <w:b/>
          <w:i w:val="0"/>
        </w:rPr>
        <w:t>our own server</w:t>
      </w:r>
      <w:r>
        <w:rPr>
          <w:b w:val="0"/>
          <w:i w:val="0"/>
        </w:rPr>
        <w:t xml:space="preserve"> writes the</w:t>
        <w:br/>
        <w:t>text (faster-whisper, no provider), as it does when Voxtral does not answer.</w:t>
        <w:br/>
        <w:t xml:space="preserve">We </w:t>
      </w:r>
      <w:r>
        <w:rPr>
          <w:b/>
          <w:i w:val="0"/>
        </w:rPr>
        <w:t>do not store the recording</w:t>
      </w:r>
      <w:r>
        <w:rPr>
          <w:b w:val="0"/>
          <w:i w:val="0"/>
        </w:rPr>
        <w:t xml:space="preserve"> — no file, no record, no log of the words. A</w:t>
        <w:br/>
        <w:t>recording made without signal waits on the phone and is deleted there once</w:t>
        <w:br/>
        <w:t>its text has come back. The browser's or phone's built-in speech recognition</w:t>
        <w:br/>
        <w:t>(which would send audio to Google or Apple) is never used. The assistant's</w:t>
        <w:br/>
        <w:t>spoken answers are produced on our server (Piper). For an EU company the</w:t>
        <w:br/>
        <w:t>transcribed text goes to Mistral's EU endpoint to structure a spoken report or</w:t>
        <w:br/>
        <w:t>understand a question. Calls, WhatsApp voice messages and audio on a job never go to Voxtral; only</w:t>
        <w:br/>
        <w:t xml:space="preserve">our own server turns them into text. </w:t>
      </w:r>
      <w:r>
        <w:rPr>
          <w:b/>
          <w:i w:val="0"/>
        </w:rPr>
        <w:t>Text from spoken input</w:t>
      </w:r>
      <w:r>
        <w:rPr>
          <w:b w:val="0"/>
          <w:i w:val="0"/>
        </w:rPr>
        <w:t xml:space="preserve"> —</w:t>
        <w:br/>
        <w:t>dictation, voice messages, call transcripts — and WhatsApp texts keep this</w:t>
        <w:br/>
        <w:t>origin in the records Necesso creates from them (the assistant conversation,</w:t>
        <w:br/>
        <w:t>job notes, spoken reports, the job and the documents and messages linked to</w:t>
        <w:br/>
        <w:t>it): such text is processed by AI only in the EU (Mistral) and never sent to</w:t>
        <w:br/>
        <w:t>Anthropic. Text a person copies by hand into another field, and records</w:t>
        <w:br/>
        <w:t>created before this protection was introduced, do not carry this origin.</w:t>
      </w:r>
    </w:p>
    <w:p>
      <w:r>
        <w:rPr>
          <w:b/>
          <w:i w:val="0"/>
        </w:rPr>
        <w:t>AI correction of a dictation.</w:t>
      </w:r>
      <w:r>
        <w:rPr>
          <w:b w:val="0"/>
          <w:i w:val="0"/>
        </w:rPr>
        <w:t xml:space="preserve"> A dictated text for a note or a site visit</w:t>
        <w:br/>
        <w:t>goes, with the job's words (customer name, work address, articles), to</w:t>
        <w:br/>
        <w:t>Mistral's EU endpoint, which fixes misheard words and grammar. The result is</w:t>
        <w:br/>
        <w:t xml:space="preserve">a </w:t>
      </w:r>
      <w:r>
        <w:rPr>
          <w:b/>
          <w:i w:val="0"/>
        </w:rPr>
        <w:t>suggestion</w:t>
      </w:r>
      <w:r>
        <w:rPr>
          <w:b w:val="0"/>
          <w:i w:val="0"/>
        </w:rPr>
        <w:t>: every changed word is shown, numbers are never changed but</w:t>
        <w:br/>
        <w:t>asked; only what the technician accepts is saved. Mistral receives no</w:t>
        <w:br/>
        <w:t>recording for this.</w:t>
      </w:r>
    </w:p>
    <w:p>
      <w:pPr>
        <w:pStyle w:val="Heading1"/>
      </w:pPr>
      <w:r>
        <w:rPr>
          <w:b w:val="0"/>
          <w:i w:val="0"/>
        </w:rPr>
        <w:t>16. Route planning</w:t>
      </w:r>
    </w:p>
    <w:p>
      <w:r>
        <w:rPr>
          <w:b w:val="0"/>
          <w:i w:val="0"/>
        </w:rPr>
        <w:t>Only when a company switches route planning on (it starts off for a customer</w:t>
        <w:br/>
        <w:t>company), the addresses of the day's jobs and of the office go to</w:t>
        <w:br/>
        <w:t>OpenRouteService (HeiGIT gGmbH, Heidelberg, Germany) to compute coordinates</w:t>
        <w:br/>
        <w:t xml:space="preserve">and driving times — </w:t>
      </w:r>
      <w:r>
        <w:rPr>
          <w:b/>
          <w:i w:val="0"/>
        </w:rPr>
        <w:t>no names</w:t>
      </w:r>
      <w:r>
        <w:rPr>
          <w:b w:val="0"/>
          <w:i w:val="0"/>
        </w:rPr>
        <w:t>. Necesso does not determine any device's</w:t>
        <w:br/>
        <w:t>location.</w:t>
      </w:r>
    </w:p>
    <w:p>
      <w:pPr>
        <w:pStyle w:val="Heading1"/>
      </w:pPr>
      <w:r>
        <w:rPr>
          <w:b w:val="0"/>
          <w:i w:val="0"/>
        </w:rPr>
        <w:t>17. Video and audio on a job</w:t>
      </w:r>
    </w:p>
    <w:p>
      <w:r>
        <w:rPr>
          <w:b w:val="0"/>
          <w:i w:val="0"/>
        </w:rPr>
        <w:t xml:space="preserve">A technician or the office can record a </w:t>
      </w:r>
      <w:r>
        <w:rPr>
          <w:b/>
          <w:i w:val="0"/>
        </w:rPr>
        <w:t>video</w:t>
      </w:r>
      <w:r>
        <w:rPr>
          <w:b w:val="0"/>
          <w:i w:val="0"/>
        </w:rPr>
        <w:t xml:space="preserve"> (with the phone's camera,</w:t>
        <w:br/>
        <w:t xml:space="preserve">720p, up to 5 minutes) or an </w:t>
      </w:r>
      <w:r>
        <w:rPr>
          <w:b/>
          <w:i w:val="0"/>
        </w:rPr>
        <w:t>audio note</w:t>
      </w:r>
      <w:r>
        <w:rPr>
          <w:b w:val="0"/>
          <w:i w:val="0"/>
        </w:rPr>
        <w:t xml:space="preserve"> on a job, or upload video files</w:t>
        <w:br/>
        <w:t>(MP4, MOV, WebM — up to 500 MB and 5 minutes) and audio files (M4A/AAC, MP3,</w:t>
        <w:br/>
        <w:t>WAV, OGG/Opus, WebM, 3GP, AMR, FLAC, CAF, AIFF — up to 200 MB). The files are</w:t>
        <w:br/>
        <w:t>stored in our file store in Germany with the job and included in the nightly</w:t>
        <w:br/>
        <w:t xml:space="preserve">backup. </w:t>
      </w:r>
      <w:r>
        <w:rPr>
          <w:b/>
          <w:i w:val="0"/>
        </w:rPr>
        <w:t>Audio is transcribed on our own server</w:t>
      </w:r>
      <w:r>
        <w:rPr>
          <w:b w:val="0"/>
          <w:i w:val="0"/>
        </w:rPr>
        <w:t xml:space="preserve"> (faster-whisper, no AI</w:t>
        <w:br/>
        <w:t xml:space="preserve">provider); the transcript stays with the job, and the </w:t>
      </w:r>
      <w:r>
        <w:rPr>
          <w:b/>
          <w:i w:val="0"/>
        </w:rPr>
        <w:t>audio file is deleted</w:t>
        <w:br/>
        <w:t>7 days after its transcript exists</w:t>
      </w:r>
      <w:r>
        <w:rPr>
          <w:b w:val="0"/>
          <w:i w:val="0"/>
        </w:rPr>
        <w:t xml:space="preserve"> (the same rule applies to WhatsApp voice</w:t>
        <w:br/>
        <w:t>messages; call recordings after 14 days). Videos stay with the job like photos. A video or</w:t>
        <w:br/>
        <w:t>recording can show or contain people — the person recording is responsible for</w:t>
        <w:br/>
        <w:t>having a reason to record them.</w:t>
      </w:r>
    </w:p>
    <w:p>
      <w:pPr>
        <w:pStyle w:val="Heading1"/>
      </w:pPr>
      <w:r>
        <w:rPr>
          <w:b w:val="0"/>
          <w:i w:val="0"/>
        </w:rPr>
        <w:t>18. Necesso search analytics</w:t>
      </w:r>
    </w:p>
    <w:p>
      <w:r>
        <w:rPr>
          <w:b w:val="0"/>
          <w:i w:val="0"/>
        </w:rPr>
        <w:t>To learn what our users look for, Necesso keeps, for each search in the search</w:t>
        <w:br/>
        <w:t>bar and each question to the assistant: the company, the user, the time, the</w:t>
        <w:br/>
        <w:t xml:space="preserve">kind (search or question), and the text </w:t>
      </w:r>
      <w:r>
        <w:rPr>
          <w:b/>
          <w:i w:val="0"/>
        </w:rPr>
        <w:t>with names removed</w:t>
      </w:r>
      <w:r>
        <w:rPr>
          <w:b w:val="0"/>
          <w:i w:val="0"/>
        </w:rPr>
        <w:t xml:space="preserve"> — before</w:t>
        <w:br/>
        <w:t>anything is stored, our privacy gateway's rules replace every name, address,</w:t>
        <w:br/>
        <w:t>phone number, e-mail address, IBAN, licence plate and tax number that the</w:t>
        <w:br/>
        <w:t>company's records or our patterns recognise with a placeholder such as</w:t>
        <w:br/>
      </w:r>
      <w:r>
        <w:rPr>
          <w:b w:val="0"/>
          <w:i w:val="0"/>
        </w:rPr>
        <w:t>[CUSTOMER_1]</w:t>
      </w:r>
      <w:r>
        <w:rPr>
          <w:b w:val="0"/>
          <w:i w:val="0"/>
        </w:rPr>
        <w:t>; the original text is never stored, and no list exists that</w:t>
        <w:br/>
        <w:t>could turn a placeholder back into a name. If a known value is still found, the</w:t>
        <w:br/>
        <w:t>text is not kept at all. A name that appears in no record and matches no pattern can remain in the</w:t>
        <w:br/>
        <w:t xml:space="preserve">text; values entered in the last few minutes may not yet be recognised. This is </w:t>
      </w:r>
      <w:r>
        <w:rPr>
          <w:b/>
          <w:i w:val="0"/>
        </w:rPr>
        <w:t>product analytics only</w:t>
      </w:r>
      <w:r>
        <w:rPr>
          <w:b w:val="0"/>
          <w:i w:val="0"/>
        </w:rPr>
        <w:t>: no third</w:t>
        <w:br/>
        <w:t>party receives it (no analytics provider, no AI provider), no crash or</w:t>
        <w:br/>
        <w:t>performance tracking takes place, and it is visible only to the Necesso team —</w:t>
        <w:br/>
        <w:t>as aggregated figures, with user identities hashed — never to the customer</w:t>
        <w:br/>
        <w:t xml:space="preserve">companies. The entries are </w:t>
      </w:r>
      <w:r>
        <w:rPr>
          <w:b/>
          <w:i w:val="0"/>
        </w:rPr>
        <w:t>deleted automatically after 12 months</w:t>
      </w:r>
      <w:r>
        <w:rPr>
          <w:b w:val="0"/>
          <w:i w:val="0"/>
        </w:rPr>
        <w:t>, and with</w:t>
        <w:br/>
        <w:t>a person's erasure. Legal basis: our legitimate interest in improving the</w:t>
        <w:br/>
        <w:t>product (Art. 6(1)(f) GDPR).</w:t>
      </w:r>
    </w:p>
    <w:p>
      <w:pPr>
        <w:pStyle w:val="Heading1"/>
      </w:pPr>
      <w:r>
        <w:rPr>
          <w:b w:val="0"/>
          <w:i w:val="0"/>
        </w:rPr>
        <w:t>19. Support</w:t>
      </w:r>
    </w:p>
    <w:p>
      <w:r>
        <w:rPr>
          <w:b w:val="0"/>
          <w:i w:val="0"/>
        </w:rPr>
        <w:t>Behind the login, "Support" opens our support page, the help chat (answers</w:t>
        <w:br/>
        <w:t>questions about every function; it runs on Mistral's EU endpoint and receives</w:t>
        <w:br/>
        <w:t>only the question and the program's own help articles — no company data) and,</w:t>
        <w:br/>
        <w:t>if you need a person, the way to call, write on WhatsApp or e-mail Necesso</w:t>
        <w:br/>
        <w:t xml:space="preserve">support. </w:t>
      </w:r>
      <w:r>
        <w:rPr>
          <w:b/>
          <w:i w:val="0"/>
        </w:rPr>
        <w:t>Support chat history is kept until it is deleted</w:t>
      </w:r>
      <w:r>
        <w:rPr>
          <w:b w:val="0"/>
          <w:i w:val="0"/>
        </w:rPr>
        <w:t xml:space="preserve"> (Manolo's</w:t>
        <w:br/>
        <w:t>ruling): a user can remove a conversation from their list, and it is deleted</w:t>
        <w:br/>
        <w:t>with the person's erasure; it is not deleted automatically.</w:t>
      </w:r>
    </w:p>
    <w:p>
      <w:pPr>
        <w:pStyle w:val="Heading1"/>
      </w:pPr>
      <w:r>
        <w:rPr>
          <w:b w:val="0"/>
          <w:i w:val="0"/>
        </w:rPr>
        <w:t>20. Server logs and your browser</w:t>
      </w:r>
    </w:p>
    <w:p>
      <w:r>
        <w:rPr>
          <w:b/>
          <w:i w:val="0"/>
        </w:rPr>
        <w:t>Server logs</w:t>
      </w:r>
      <w:r>
        <w:rPr>
          <w:b w:val="0"/>
          <w:i w:val="0"/>
        </w:rPr>
        <w:t xml:space="preserve"> (the program's technical messages: which address was requested,</w:t>
        <w:br/>
        <w:t>when, with what result, and errors — no passwords, no request contents, and no names, e-mail</w:t>
        <w:br/>
        <w:t>addresses, phone numbers or other personal details) are</w:t>
        <w:br/>
      </w:r>
      <w:r>
        <w:rPr>
          <w:b/>
          <w:i w:val="0"/>
        </w:rPr>
        <w:t>kept for 30 days</w:t>
      </w:r>
      <w:r>
        <w:rPr>
          <w:b w:val="0"/>
          <w:i w:val="0"/>
        </w:rPr>
        <w:t>. Since our servers sit behind our own proxy, the logs</w:t>
        <w:br/>
        <w:t>carry the proxy's internal address, not your IP address. The login security log</w:t>
        <w:br/>
        <w:t>(sign-ins, failed sign-ins, two-factor events) is part of the company's records</w:t>
        <w:br/>
        <w:t>and kept with them.</w:t>
      </w:r>
    </w:p>
    <w:p>
      <w:r>
        <w:rPr>
          <w:b/>
          <w:i w:val="0"/>
        </w:rPr>
        <w:t>In your browser</w:t>
      </w:r>
      <w:r>
        <w:rPr>
          <w:b w:val="0"/>
          <w:i w:val="0"/>
        </w:rPr>
        <w:t xml:space="preserve"> the program stores: the sign-in cookie </w:t>
      </w:r>
      <w:r>
        <w:rPr>
          <w:b w:val="0"/>
          <w:i w:val="0"/>
        </w:rPr>
        <w:t>necesso_session</w:t>
      </w:r>
      <w:r>
        <w:rPr>
          <w:b w:val="0"/>
          <w:i w:val="0"/>
        </w:rPr>
        <w:br/>
        <w:t>(HttpOnly; for the browser session, or one year with "stay signed in"); with</w:t>
        <w:br/>
        <w:t xml:space="preserve">two-factor login the cookie </w:t>
      </w:r>
      <w:r>
        <w:rPr>
          <w:b w:val="0"/>
          <w:i w:val="0"/>
        </w:rPr>
        <w:t>necesso_device</w:t>
      </w:r>
      <w:r>
        <w:rPr>
          <w:b w:val="0"/>
          <w:i w:val="0"/>
        </w:rPr>
        <w:t xml:space="preserve"> for a remembered device (400 days,</w:t>
        <w:br/>
        <w:t>renewed on use); the language you chose; whether spoken answers are on; the day</w:t>
        <w:br/>
        <w:t>the "start your day" note was answered; an unfinished large upload so it can</w:t>
        <w:br/>
        <w:t xml:space="preserve">continue; your </w:t>
      </w:r>
      <w:r>
        <w:rPr>
          <w:b/>
          <w:i w:val="0"/>
        </w:rPr>
        <w:t>unsaved entries (drafts)</w:t>
      </w:r>
      <w:r>
        <w:rPr>
          <w:b w:val="0"/>
          <w:i w:val="0"/>
        </w:rPr>
        <w:t xml:space="preserve"> per screen, so nothing is lost —</w:t>
        <w:br/>
        <w:t>deleted once saved or after 30 days, and at sign-out unless you chose "stay</w:t>
        <w:br/>
        <w:t>signed in"; while a two-factor code is being entered, its ticket (until the tab</w:t>
        <w:br/>
        <w:t>closes); dictation recordings made without signal (deleted as soon as their text</w:t>
        <w:br/>
        <w:t>came back, and at sign-out — the app first sends what is still waiting and</w:t>
        <w:br/>
        <w:t>tells you before it deletes a dictation that has not reached its field; a</w:t>
        <w:br/>
        <w:t>recording is only ever sent for the person who made it); and a short-term cache of recently viewed data and images for</w:t>
        <w:br/>
        <w:t>offline use (one day / seven days, cleared at sign-out); the cookie</w:t>
        <w:br/>
      </w:r>
      <w:r>
        <w:rPr>
          <w:b w:val="0"/>
          <w:i w:val="0"/>
        </w:rPr>
        <w:t>necesso_kd</w:t>
      </w:r>
      <w:r>
        <w:rPr>
          <w:b w:val="0"/>
          <w:i w:val="0"/>
        </w:rPr>
        <w:t>, which recognises a device you have signed in on before and is</w:t>
        <w:br/>
        <w:t>used only for login protection (180 days; on a shared device for at most five</w:t>
        <w:br/>
        <w:t xml:space="preserve">accounts). With a </w:t>
      </w:r>
      <w:r>
        <w:rPr>
          <w:b/>
          <w:i w:val="0"/>
        </w:rPr>
        <w:t>passkey</w:t>
      </w:r>
      <w:r>
        <w:rPr>
          <w:b w:val="0"/>
          <w:i w:val="0"/>
        </w:rPr>
        <w:t xml:space="preserve"> (fingerprint,</w:t>
        <w:br/>
        <w:t>face or device unlock) the private key stays on your device; Necesso stores the public key, the key's id, the browser and system it was set up on and when it was last used. No advertising or tracking cookies are used.</w:t>
      </w:r>
    </w:p>
    <w:p>
      <w:r>
        <w:rPr>
          <w:b/>
          <w:i w:val="0"/>
        </w:rPr>
        <w:t>Sign-in protection.</w:t>
      </w:r>
      <w:r>
        <w:rPr>
          <w:b w:val="0"/>
          <w:i w:val="0"/>
        </w:rPr>
        <w:t xml:space="preserve"> After repeated wrong passwords, sign-in to an account</w:t>
        <w:br/>
        <w:t>is paused for a short time (never permanently) and the account holder receives</w:t>
        <w:br/>
        <w:t>an e-mail. When a password is chosen through an invitation</w:t>
        <w:br/>
        <w:t>or reset link, we check whether it appears in known data leaks: only the first</w:t>
        <w:br/>
        <w:t>five characters of a hash of the password are sent to the "Have I Been Pwned"</w:t>
        <w:br/>
        <w:t>service — never the password itself. If the service cannot be reached, the</w:t>
        <w:br/>
        <w:t>password is accepted.</w:t>
      </w:r>
    </w:p>
    <w:p>
      <w:pPr>
        <w:pStyle w:val="Heading1"/>
      </w:pPr>
      <w:r>
        <w:rPr>
          <w:b w:val="0"/>
          <w:i w:val="0"/>
        </w:rPr>
        <w:t>21. Account deletion</w:t>
      </w:r>
    </w:p>
    <w:p>
      <w:r>
        <w:rPr>
          <w:b w:val="0"/>
          <w:i w:val="0"/>
        </w:rPr>
        <w:t>Every person with a Necesso account — owners and invited employees alike — can</w:t>
        <w:br/>
        <w:t xml:space="preserve">delete their own account: in the profile under </w:t>
      </w:r>
      <w:r>
        <w:rPr>
          <w:b/>
          <w:i w:val="0"/>
        </w:rPr>
        <w:t>“Delete my account”</w:t>
      </w:r>
      <w:r>
        <w:rPr>
          <w:b w:val="0"/>
          <w:i w:val="0"/>
        </w:rPr>
        <w:t>,</w:t>
        <w:br/>
        <w:t>confirmed with the password (and the second step when two-factor login is on).</w:t>
        <w:br/>
        <w:t>Without signing in, use necesso.ai/konto-loeschen.</w:t>
      </w:r>
    </w:p>
    <w:p>
      <w:pPr>
        <w:pStyle w:val="ListBullet"/>
      </w:pPr>
      <w:r>
        <w:rPr>
          <w:b/>
          <w:i w:val="0"/>
        </w:rPr>
        <w:t>At once</w:t>
      </w:r>
      <w:r>
        <w:rPr>
          <w:b w:val="0"/>
          <w:i w:val="0"/>
        </w:rPr>
        <w:t>: the person is signed out on every device; their sign-in, name,</w:t>
        <w:br/>
        <w:t>email address, password, settings, assistant conversations, absences and</w:t>
        <w:br/>
        <w:t>classification are deleted, or replaced by a neutral label — within 30 days</w:t>
        <w:br/>
        <w:t>at the latest.</w:t>
      </w:r>
    </w:p>
    <w:p>
      <w:pPr>
        <w:pStyle w:val="ListBullet"/>
      </w:pPr>
      <w:r>
        <w:rPr>
          <w:b/>
          <w:i w:val="0"/>
        </w:rPr>
        <w:t>Stays with the company</w:t>
      </w:r>
      <w:r>
        <w:rPr>
          <w:b w:val="0"/>
          <w:i w:val="0"/>
        </w:rPr>
        <w:t>: invoices and other records the company must keep</w:t>
        <w:br/>
        <w:t>by law (in Austria seven years, § 132 BAO), and recorded working hours and</w:t>
        <w:br/>
        <w:t>reports — they then show a neutral label instead of the name. Such records</w:t>
        <w:br/>
        <w:t>can still allow the person to be identified (for example through issued</w:t>
        <w:br/>
        <w:t>documents) and are kept only as long as the law requires.</w:t>
      </w:r>
    </w:p>
    <w:p>
      <w:pPr>
        <w:pStyle w:val="ListBullet"/>
      </w:pPr>
      <w:r>
        <w:rPr>
          <w:b/>
          <w:i w:val="0"/>
        </w:rPr>
        <w:t>Confirmation</w:t>
      </w:r>
      <w:r>
        <w:rPr>
          <w:b w:val="0"/>
          <w:i w:val="0"/>
        </w:rPr>
        <w:t>: an email to the deleted account's address; once it is</w:t>
        <w:br/>
        <w:t>delivered, that address is deleted from our sending log too.</w:t>
      </w:r>
    </w:p>
    <w:p>
      <w:pPr>
        <w:pStyle w:val="ListBullet"/>
      </w:pPr>
      <w:r>
        <w:rPr>
          <w:b/>
          <w:i w:val="0"/>
        </w:rPr>
        <w:t>Evidence</w:t>
      </w:r>
      <w:r>
        <w:rPr>
          <w:b w:val="0"/>
          <w:i w:val="0"/>
        </w:rPr>
        <w:t>: every deletion is logged without content (which internal id,</w:t>
        <w:br/>
        <w:t>which kind, when) and runs again after any restore of a backup.</w:t>
      </w:r>
    </w:p>
    <w:p>
      <w:pPr>
        <w:pStyle w:val="ListBullet"/>
      </w:pPr>
      <w:r>
        <w:rPr>
          <w:b/>
          <w:i w:val="0"/>
        </w:rPr>
        <w:t>The last person with full rights</w:t>
      </w:r>
      <w:r>
        <w:rPr>
          <w:b w:val="0"/>
          <w:i w:val="0"/>
        </w:rPr>
        <w:t xml:space="preserve"> in a company first hands the company</w:t>
        <w:br/>
        <w:t xml:space="preserve">over to another person, or requests the </w:t>
      </w:r>
      <w:r>
        <w:rPr>
          <w:b/>
          <w:i w:val="0"/>
        </w:rPr>
        <w:t>deletion of the whole company</w:t>
      </w:r>
      <w:r>
        <w:rPr>
          <w:b w:val="0"/>
          <w:i w:val="0"/>
        </w:rPr>
        <w:t>:</w:t>
        <w:br/>
        <w:t>after the export of all company data the request is recorded, confirmed by</w:t>
        <w:br/>
        <w:t>email and carried out by the Necesso team within 30 days; until then it can</w:t>
        <w:br/>
        <w:t>be withdrawn in the profile. A company is never deleted at once by a button.</w:t>
      </w:r>
    </w:p>
    <w:p>
      <w:pPr>
        <w:pStyle w:val="Heading1"/>
      </w:pPr>
      <w:r>
        <w:rPr>
          <w:b w:val="0"/>
          <w:i w:val="0"/>
        </w:rPr>
        <w:t>22. Sending email</w:t>
      </w:r>
    </w:p>
    <w:p>
      <w:r>
        <w:rPr>
          <w:b w:val="0"/>
          <w:i w:val="0"/>
        </w:rPr>
        <w:t>Necesso sends e-mail through Scaleway (Paris, France): documents as PDF,</w:t>
        <w:br/>
        <w:t>invitations, password resets, login codes and the messages a company sends to</w:t>
        <w:br/>
        <w:t xml:space="preserve">its customers and suppliers. </w:t>
      </w:r>
      <w:r>
        <w:rPr>
          <w:b/>
          <w:i w:val="0"/>
        </w:rPr>
        <w:t>Test and demo companies never send mail to</w:t>
        <w:br/>
        <w:t>invented addresses</w:t>
      </w:r>
      <w:r>
        <w:rPr>
          <w:b w:val="0"/>
          <w:i w:val="0"/>
        </w:rPr>
        <w:t>: nothing is sent to reserved test addresses (such as</w:t>
        <w:br/>
      </w:r>
      <w:r>
        <w:rPr>
          <w:b w:val="0"/>
          <w:i w:val="0"/>
        </w:rPr>
        <w:t>.invalid</w:t>
      </w:r>
      <w:r>
        <w:rPr>
          <w:b w:val="0"/>
          <w:i w:val="0"/>
        </w:rPr>
        <w:t xml:space="preserve">, </w:t>
      </w:r>
      <w:r>
        <w:rPr>
          <w:b w:val="0"/>
          <w:i w:val="0"/>
        </w:rPr>
        <w:t>.example</w:t>
      </w:r>
      <w:r>
        <w:rPr>
          <w:b w:val="0"/>
          <w:i w:val="0"/>
        </w:rPr>
        <w:t xml:space="preserve">, </w:t>
      </w:r>
      <w:r>
        <w:rPr>
          <w:b w:val="0"/>
          <w:i w:val="0"/>
        </w:rPr>
        <w:t>.test</w:t>
      </w:r>
      <w:r>
        <w:rPr>
          <w:b w:val="0"/>
          <w:i w:val="0"/>
        </w:rPr>
        <w:t>) for any company, and a test or demo company</w:t>
        <w:br/>
        <w:t>sends only to addresses Necesso has explicitly allowed (its own team's). When</w:t>
        <w:br/>
        <w:t>the provider reports an e-mail as permanently undeliverable, rejected or</w:t>
        <w:br/>
        <w:t xml:space="preserve">marked as spam, the address goes on a </w:t>
      </w:r>
      <w:r>
        <w:rPr>
          <w:b/>
          <w:i w:val="0"/>
        </w:rPr>
        <w:t>suppression list</w:t>
      </w:r>
      <w:r>
        <w:rPr>
          <w:b w:val="0"/>
          <w:i w:val="0"/>
        </w:rPr>
        <w:t>: nothing more is</w:t>
        <w:br/>
        <w:t>sent to it until the Necesso team releases it again.</w:t>
      </w:r>
    </w:p>
    <w:p>
      <w:pPr>
        <w:pStyle w:val="Heading1"/>
      </w:pPr>
      <w:r>
        <w:rPr>
          <w:b w:val="0"/>
          <w:i w:val="0"/>
        </w:rPr>
        <w:t>23. Hosting and server locations</w:t>
      </w:r>
    </w:p>
    <w:p>
      <w:r>
        <w:rPr>
          <w:b w:val="0"/>
          <w:i w:val="0"/>
        </w:rPr>
        <w:t>The website and platform are hosted separately. The Necesso platform runs on Hetzner servers in Germany. Nightly backups remain on the server for 14 days; offsite copies at Hetzner Storage Box and Scaleway in Paris currently have no fixed expiry and are encrypted by Necesso before transmission. See section 9 for AI and section 6 for third-country transfers.</w:t>
      </w:r>
    </w:p>
    <w:tbl>
      <w:tblPr>
        <w:tblStyle w:val="LightShading-Accent1"/>
        <w:tblW w:type="auto" w:w="0"/>
        <w:jc w:val="center"/>
        <w:tblLook w:firstColumn="1" w:firstRow="1" w:lastColumn="0" w:lastRow="0" w:noHBand="0" w:noVBand="1" w:val="04A0"/>
      </w:tblPr>
      <w:tblGrid>
        <w:gridCol w:w="2469"/>
        <w:gridCol w:w="2469"/>
        <w:gridCol w:w="2469"/>
        <w:gridCol w:w="2469"/>
      </w:tblGrid>
      <w:tr>
        <w:trPr>
          <w:tblHeader w:val="true"/>
        </w:trPr>
        <w:tc>
          <w:tcPr>
            <w:tcW w:type="dxa" w:w="2469"/>
            <w:vAlign w:val="center"/>
          </w:tcPr>
          <w:p>
            <w:r>
              <w:rPr>
                <w:b/>
                <w:i w:val="0"/>
                <w:sz w:val="16"/>
              </w:rPr>
              <w:t>System</w:t>
            </w:r>
          </w:p>
        </w:tc>
        <w:tc>
          <w:tcPr>
            <w:tcW w:type="dxa" w:w="2469"/>
            <w:vAlign w:val="center"/>
          </w:tcPr>
          <w:p>
            <w:r>
              <w:rPr>
                <w:b/>
                <w:i w:val="0"/>
                <w:sz w:val="16"/>
              </w:rPr>
              <w:t>Provider</w:t>
            </w:r>
          </w:p>
        </w:tc>
        <w:tc>
          <w:tcPr>
            <w:tcW w:type="dxa" w:w="2469"/>
            <w:vAlign w:val="center"/>
          </w:tcPr>
          <w:p>
            <w:r>
              <w:rPr>
                <w:b/>
                <w:i w:val="0"/>
                <w:sz w:val="16"/>
              </w:rPr>
              <w:t>Server location</w:t>
            </w:r>
          </w:p>
        </w:tc>
        <w:tc>
          <w:tcPr>
            <w:tcW w:type="dxa" w:w="2469"/>
            <w:vAlign w:val="center"/>
          </w:tcPr>
          <w:p>
            <w:r>
              <w:rPr>
                <w:b/>
                <w:i w:val="0"/>
                <w:sz w:val="16"/>
              </w:rPr>
              <w:t>Whose data</w:t>
            </w:r>
          </w:p>
        </w:tc>
      </w:tr>
      <w:tr>
        <w:tc>
          <w:tcPr>
            <w:tcW w:type="dxa" w:w="2469"/>
            <w:vAlign w:val="center"/>
          </w:tcPr>
          <w:p>
            <w:r>
              <w:rPr>
                <w:b w:val="0"/>
                <w:i w:val="0"/>
                <w:sz w:val="16"/>
              </w:rPr>
              <w:t xml:space="preserve">Website </w:t>
            </w:r>
            <w:r>
              <w:rPr>
                <w:b w:val="0"/>
                <w:i w:val="0"/>
                <w:sz w:val="16"/>
              </w:rPr>
              <w:t>necesso.ai</w:t>
            </w:r>
          </w:p>
        </w:tc>
        <w:tc>
          <w:tcPr>
            <w:tcW w:type="dxa" w:w="2469"/>
            <w:vAlign w:val="center"/>
          </w:tcPr>
          <w:p>
            <w:r>
              <w:rPr>
                <w:b w:val="0"/>
                <w:i w:val="0"/>
                <w:sz w:val="16"/>
              </w:rPr>
              <w:t>Netlify, Inc.</w:t>
            </w:r>
          </w:p>
        </w:tc>
        <w:tc>
          <w:tcPr>
            <w:tcW w:type="dxa" w:w="2469"/>
            <w:vAlign w:val="center"/>
          </w:tcPr>
          <w:p>
            <w:r>
              <w:rPr>
                <w:b w:val="0"/>
                <w:i w:val="0"/>
                <w:sz w:val="16"/>
              </w:rPr>
              <w:t>Global network</w:t>
            </w:r>
          </w:p>
        </w:tc>
        <w:tc>
          <w:tcPr>
            <w:tcW w:type="dxa" w:w="2469"/>
            <w:vAlign w:val="center"/>
          </w:tcPr>
          <w:p>
            <w:r>
              <w:rPr>
                <w:b w:val="0"/>
                <w:i w:val="0"/>
                <w:sz w:val="16"/>
              </w:rPr>
              <w:t>website visitors</w:t>
            </w:r>
          </w:p>
        </w:tc>
      </w:tr>
      <w:tr>
        <w:tc>
          <w:tcPr>
            <w:tcW w:type="dxa" w:w="2469"/>
            <w:vAlign w:val="center"/>
          </w:tcPr>
          <w:p>
            <w:r>
              <w:rPr>
                <w:b w:val="0"/>
                <w:i w:val="0"/>
                <w:sz w:val="16"/>
              </w:rPr>
              <w:t>Necesso platform</w:t>
            </w:r>
          </w:p>
        </w:tc>
        <w:tc>
          <w:tcPr>
            <w:tcW w:type="dxa" w:w="2469"/>
            <w:vAlign w:val="center"/>
          </w:tcPr>
          <w:p>
            <w:r>
              <w:rPr>
                <w:b w:val="0"/>
                <w:i w:val="0"/>
                <w:sz w:val="16"/>
              </w:rPr>
              <w:t>Hetzner Online GmbH</w:t>
            </w:r>
          </w:p>
        </w:tc>
        <w:tc>
          <w:tcPr>
            <w:tcW w:type="dxa" w:w="2469"/>
            <w:vAlign w:val="center"/>
          </w:tcPr>
          <w:p>
            <w:r>
              <w:rPr>
                <w:b w:val="0"/>
                <w:i w:val="0"/>
                <w:sz w:val="16"/>
              </w:rPr>
              <w:t>Germany</w:t>
            </w:r>
          </w:p>
        </w:tc>
        <w:tc>
          <w:tcPr>
            <w:tcW w:type="dxa" w:w="2469"/>
            <w:vAlign w:val="center"/>
          </w:tcPr>
          <w:p>
            <w:r>
              <w:rPr>
                <w:b w:val="0"/>
                <w:i w:val="0"/>
                <w:sz w:val="16"/>
              </w:rPr>
              <w:t>trade businesses and their customers</w:t>
            </w:r>
          </w:p>
        </w:tc>
      </w:tr>
      <w:tr>
        <w:tc>
          <w:tcPr>
            <w:tcW w:type="dxa" w:w="2469"/>
            <w:vAlign w:val="center"/>
          </w:tcPr>
          <w:p>
            <w:r>
              <w:rPr>
                <w:b w:val="0"/>
                <w:i w:val="0"/>
                <w:sz w:val="16"/>
              </w:rPr>
              <w:t>Scaleway</w:t>
            </w:r>
          </w:p>
        </w:tc>
        <w:tc>
          <w:tcPr>
            <w:tcW w:type="dxa" w:w="2469"/>
            <w:vAlign w:val="center"/>
          </w:tcPr>
          <w:p>
            <w:r>
              <w:rPr>
                <w:b w:val="0"/>
                <w:i w:val="0"/>
                <w:sz w:val="16"/>
              </w:rPr>
              <w:t>Encrypted offsite backups</w:t>
            </w:r>
          </w:p>
        </w:tc>
        <w:tc>
          <w:tcPr>
            <w:tcW w:type="dxa" w:w="2469"/>
            <w:vAlign w:val="center"/>
          </w:tcPr>
          <w:p>
            <w:r>
              <w:rPr>
                <w:b w:val="0"/>
                <w:i w:val="0"/>
                <w:sz w:val="16"/>
              </w:rPr>
              <w:t>Paris, France</w:t>
            </w:r>
          </w:p>
        </w:tc>
        <w:tc>
          <w:tcPr>
            <w:tcW w:type="dxa" w:w="2469"/>
            <w:vAlign w:val="center"/>
          </w:tcPr>
          <w:p>
            <w:r>
              <w:rPr>
                <w:b w:val="0"/>
                <w:i w:val="0"/>
                <w:sz w:val="16"/>
              </w:rPr>
              <w:t>Customer-company backup data</w:t>
            </w:r>
          </w:p>
        </w:tc>
      </w:tr>
    </w:tbl>
    <w:p/>
    <w:p>
      <w:r>
        <w:rPr>
          <w:b/>
          <w:i w:val="0"/>
        </w:rPr>
        <w:t>Platform hosting:</w:t>
      </w:r>
      <w:r>
        <w:rPr>
          <w:b w:val="0"/>
          <w:i w:val="0"/>
        </w:rPr>
        <w:t xml:space="preserve"> Hetzner Online GmbH, Industriestr. 25, 91710 Gunzenhausen, Germany. A DPA under Art. 28 GDPR is in place with Hetzner. Necesso also uses Scaleway (Paris) for encrypted offsite backups and outgoing email. AI endpoints and providers are covered separately in section 9.</w:t>
      </w:r>
    </w:p>
    <w:p>
      <w:r>
        <w:rPr>
          <w:b/>
          <w:i w:val="0"/>
        </w:rPr>
        <w:t>Website hosting:</w:t>
      </w:r>
      <w:r>
        <w:rPr>
          <w:b w:val="0"/>
          <w:i w:val="0"/>
        </w:rPr>
        <w:t xml:space="preserve"> Netlify, Inc., 512 2nd Street, Suite 200, San Francisco, CA 94107, USA. The website is delivered through Netlify’s globally distributed infrastructure. Processing of website visitor data exclusively within the EU is not guaranteed. GoDaddy provides domain registration and domain management, not website hosting.</w:t>
      </w:r>
    </w:p>
    <w:p>
      <w:r>
        <w:rPr>
          <w:b/>
          <w:i w:val="0"/>
        </w:rPr>
        <w:t>Which data:</w:t>
      </w:r>
      <w:r>
        <w:rPr>
          <w:b w:val="0"/>
          <w:i w:val="0"/>
        </w:rPr>
        <w:t xml:space="preserve"> When the website is accessed, Netlify processes technically necessary request data, in particular the IP address, date and time, page accessed, technical browser and operating system details and, where transmitted, the referrer URL. This data is used to deliver the website, diagnose errors and prevent abuse.</w:t>
      </w:r>
    </w:p>
    <w:p>
      <w:r>
        <w:rPr>
          <w:b/>
          <w:i w:val="0"/>
        </w:rPr>
        <w:t>Website log retention:</w:t>
      </w:r>
      <w:r>
        <w:rPr>
          <w:b w:val="0"/>
          <w:i w:val="0"/>
        </w:rPr>
        <w:t xml:space="preserve"> Retention depends on the type of log data, the Netlify service used and its retention rules. Relevant criteria are the need to deliver and maintain the stability of the website, diagnose errors, prevent and investigate security incidents, and meet statutory retention and record-keeping obligations. Personal log data must be deleted or anonymised once the relevant purpose no longer applies and there is no lawful basis for further retention. Where Netlify processes data as a controller in its own right, the storage and deletion criteria in its privacy statement apply. The 30-day period for Necesso platform logs does not apply to website logs at Netlify.</w:t>
      </w:r>
    </w:p>
    <w:p>
      <w:r>
        <w:rPr>
          <w:b/>
          <w:i w:val="0"/>
        </w:rPr>
        <w:t>Third countries:</w:t>
      </w:r>
      <w:r>
        <w:rPr>
          <w:b w:val="0"/>
          <w:i w:val="0"/>
        </w:rPr>
        <w:t xml:space="preserve"> Global delivery may involve processing website visitor data outside the EU and the EEA, in particular in the USA. Netlify describes the EU-US Data Privacy Framework, where the transfer is covered, and supplementary or alternative EU Standard Contractual Clauses in its data protection terms. Transmission to the website is encrypted (HTTPS).</w:t>
      </w:r>
    </w:p>
    <w:p>
      <w:r>
        <w:rPr>
          <w:b/>
          <w:i w:val="0"/>
        </w:rPr>
        <w:t>Legal basis:</w:t>
      </w:r>
      <w:r>
        <w:rPr>
          <w:b w:val="0"/>
          <w:i w:val="0"/>
        </w:rPr>
        <w:t xml:space="preserve"> Art. 6(1)(f) GDPR (legitimate interest in the secure and stable operation of the website). Processing on our behalf is governed by the Netlify data protection terms applicable to the hosting contract, including its Data Processing Agreement.</w:t>
      </w:r>
    </w:p>
    <w:p>
      <w:r>
        <w:rPr>
          <w:b w:val="0"/>
          <w:i w:val="0"/>
        </w:rPr>
        <w:t>Primary storage for EU customer businesses is at Hetzner in Germany. The documented architecture calls for a separate US server before onboarding US customer businesses. AI requests to Mistral use the EU endpoint, but certain provider account and billing data may be handled outside the EU.</w:t>
      </w:r>
    </w:p>
    <w:p>
      <w:r>
        <w:rPr>
          <w:b/>
          <w:i w:val="0"/>
        </w:rPr>
        <w:t>Platform-backup position (29 October 2026):</w:t>
      </w:r>
      <w:r>
        <w:rPr>
          <w:b w:val="0"/>
          <w:i w:val="0"/>
        </w:rPr>
        <w:t xml:space="preserve"> Nightly database and file backups remain on the server for 14 days. Additional copies on Hetzner Storage Box and Scaleway Paris currently have no expiry date in the documentation. Necesso encrypts each backup itself using AES-256 before it leaves the server, with the key stored separately. The absence of a finite offsite-retention period remains a GDPR issue. The 30-day retention period concerns Necesso platform server logs, not backups.</w:t>
      </w:r>
    </w:p>
    <w:p>
      <w:r>
        <w:rPr>
          <w:b/>
          <w:i w:val="0"/>
        </w:rPr>
        <w:t>Further information:</w:t>
      </w:r>
      <w:r>
        <w:rPr>
          <w:b w:val="0"/>
          <w:i w:val="0"/>
        </w:rPr>
        <w:t xml:space="preserve"> </w:t>
      </w:r>
      <w:r>
        <w:rPr>
          <w:b w:val="0"/>
          <w:i w:val="0"/>
        </w:rPr>
        <w:t>Netlify privacy statement</w:t>
      </w:r>
      <w:r>
        <w:rPr>
          <w:b w:val="0"/>
          <w:i w:val="0"/>
        </w:rPr>
        <w:t xml:space="preserve">; </w:t>
      </w:r>
      <w:r>
        <w:rPr>
          <w:b w:val="0"/>
          <w:i w:val="0"/>
        </w:rPr>
        <w:t>Netlify Data Processing Agreement</w:t>
      </w:r>
      <w:r>
        <w:rPr>
          <w:b w:val="0"/>
          <w:i w:val="0"/>
        </w:rPr>
        <w:t xml:space="preserve">; </w:t>
      </w:r>
      <w:r>
        <w:rPr>
          <w:b w:val="0"/>
          <w:i w:val="0"/>
        </w:rPr>
        <w:t>Netlify documentation on monitoring and log data</w:t>
      </w:r>
      <w:r>
        <w:rPr>
          <w:b w:val="0"/>
          <w:i w:val="0"/>
        </w:rPr>
        <w:t>.</w:t>
      </w:r>
    </w:p>
    <w:p>
      <w:pPr>
        <w:pStyle w:val="Heading1"/>
      </w:pPr>
      <w:r>
        <w:rPr>
          <w:b w:val="0"/>
          <w:i w:val="0"/>
        </w:rPr>
        <w:t>24. Mobile apps and user account</w:t>
      </w:r>
    </w:p>
    <w:p>
      <w:r>
        <w:rPr>
          <w:b w:val="0"/>
          <w:i w:val="0"/>
        </w:rPr>
        <w:t>The Necesso apps for iOS and Android only access features of your device with your permission. You can revoke permission at any time in the device settings.</w:t>
      </w:r>
    </w:p>
    <w:tbl>
      <w:tblPr>
        <w:tblStyle w:val="LightShading-Accent1"/>
        <w:tblW w:type="auto" w:w="0"/>
        <w:jc w:val="center"/>
        <w:tblLook w:firstColumn="1" w:firstRow="1" w:lastColumn="0" w:lastRow="0" w:noHBand="0" w:noVBand="1" w:val="04A0"/>
      </w:tblPr>
      <w:tblGrid>
        <w:gridCol w:w="4939"/>
        <w:gridCol w:w="4939"/>
      </w:tblGrid>
      <w:tr>
        <w:trPr>
          <w:tblHeader w:val="true"/>
        </w:trPr>
        <w:tc>
          <w:tcPr>
            <w:tcW w:type="dxa" w:w="4939"/>
            <w:vAlign w:val="center"/>
          </w:tcPr>
          <w:p>
            <w:r>
              <w:rPr>
                <w:b/>
                <w:i w:val="0"/>
                <w:sz w:val="16"/>
              </w:rPr>
              <w:t>Permission</w:t>
            </w:r>
          </w:p>
        </w:tc>
        <w:tc>
          <w:tcPr>
            <w:tcW w:type="dxa" w:w="4939"/>
            <w:vAlign w:val="center"/>
          </w:tcPr>
          <w:p>
            <w:r>
              <w:rPr>
                <w:b/>
                <w:i w:val="0"/>
                <w:sz w:val="16"/>
              </w:rPr>
              <w:t>Purpose</w:t>
            </w:r>
          </w:p>
        </w:tc>
      </w:tr>
      <w:tr>
        <w:tc>
          <w:tcPr>
            <w:tcW w:type="dxa" w:w="4939"/>
            <w:vAlign w:val="center"/>
          </w:tcPr>
          <w:p>
            <w:r>
              <w:rPr>
                <w:b w:val="0"/>
                <w:i w:val="0"/>
                <w:sz w:val="16"/>
              </w:rPr>
              <w:t>Microphone</w:t>
            </w:r>
          </w:p>
        </w:tc>
        <w:tc>
          <w:tcPr>
            <w:tcW w:type="dxa" w:w="4939"/>
            <w:vAlign w:val="center"/>
          </w:tcPr>
          <w:p>
            <w:r>
              <w:rPr>
                <w:b w:val="0"/>
                <w:i w:val="0"/>
                <w:sz w:val="16"/>
              </w:rPr>
              <w:t>Voice notes, dictation and call recordings where enabled and with necessary consent</w:t>
            </w:r>
          </w:p>
        </w:tc>
      </w:tr>
      <w:tr>
        <w:tc>
          <w:tcPr>
            <w:tcW w:type="dxa" w:w="4939"/>
            <w:vAlign w:val="center"/>
          </w:tcPr>
          <w:p>
            <w:r>
              <w:rPr>
                <w:b w:val="0"/>
                <w:i w:val="0"/>
                <w:sz w:val="16"/>
              </w:rPr>
              <w:t>Camera, photos and video</w:t>
            </w:r>
          </w:p>
        </w:tc>
        <w:tc>
          <w:tcPr>
            <w:tcW w:type="dxa" w:w="4939"/>
            <w:vAlign w:val="center"/>
          </w:tcPr>
          <w:p>
            <w:r>
              <w:rPr>
                <w:b w:val="0"/>
                <w:i w:val="0"/>
                <w:sz w:val="16"/>
              </w:rPr>
              <w:t>Take site and document photos or record video (720p), and attach media to jobs</w:t>
            </w:r>
          </w:p>
        </w:tc>
      </w:tr>
      <w:tr>
        <w:tc>
          <w:tcPr>
            <w:tcW w:type="dxa" w:w="4939"/>
            <w:vAlign w:val="center"/>
          </w:tcPr>
          <w:p>
            <w:r>
              <w:rPr>
                <w:b w:val="0"/>
                <w:i w:val="0"/>
                <w:sz w:val="16"/>
              </w:rPr>
              <w:t>Notifications</w:t>
            </w:r>
          </w:p>
        </w:tc>
        <w:tc>
          <w:tcPr>
            <w:tcW w:type="dxa" w:w="4939"/>
            <w:vAlign w:val="center"/>
          </w:tcPr>
          <w:p>
            <w:r>
              <w:rPr>
                <w:b w:val="0"/>
                <w:i w:val="0"/>
                <w:sz w:val="16"/>
              </w:rPr>
              <w:t>show new messages and tasks</w:t>
            </w:r>
          </w:p>
        </w:tc>
      </w:tr>
    </w:tbl>
    <w:p/>
    <w:p>
      <w:r>
        <w:rPr>
          <w:b/>
          <w:i w:val="0"/>
        </w:rPr>
        <w:t>Customer contacts and app contact:</w:t>
      </w:r>
      <w:r>
        <w:rPr>
          <w:b w:val="0"/>
          <w:i w:val="0"/>
        </w:rPr>
        <w:t xml:space="preserve"> Customer contacts are created and managed exclusively within Necesso. The app does not access your smartphone’s address book or phone contacts and does not require permission to access device contacts. For app enquiries, contact </w:t>
      </w:r>
      <w:r>
        <w:rPr>
          <w:b w:val="0"/>
          <w:i w:val="0"/>
        </w:rPr>
        <w:t>office@necesso.ai</w:t>
      </w:r>
      <w:r>
        <w:rPr>
          <w:b w:val="0"/>
          <w:i w:val="0"/>
        </w:rPr>
        <w:t>.</w:t>
      </w:r>
    </w:p>
    <w:p>
      <w:r>
        <w:rPr>
          <w:b/>
          <w:i w:val="0"/>
        </w:rPr>
        <w:t>User account:</w:t>
      </w:r>
      <w:r>
        <w:rPr>
          <w:b w:val="0"/>
          <w:i w:val="0"/>
        </w:rPr>
        <w:t xml:space="preserve"> To use the service, we store name, e-mail address, phone number, company and login data (legal basis: Art. 6(1)(b) GDPR).</w:t>
      </w:r>
    </w:p>
    <w:p>
      <w:r>
        <w:rPr>
          <w:b/>
          <w:i w:val="0"/>
        </w:rPr>
        <w:t>Delete account:</w:t>
      </w:r>
      <w:r>
        <w:rPr>
          <w:b w:val="0"/>
          <w:i w:val="0"/>
        </w:rPr>
        <w:t xml:space="preserve"> Individual users can delete their own user accounts directly in the app. Deletion of an entire customer company must be </w:t>
      </w:r>
      <w:r>
        <w:rPr>
          <w:b/>
          <w:i w:val="0"/>
        </w:rPr>
        <w:t>requested in the app</w:t>
      </w:r>
      <w:r>
        <w:rPr>
          <w:b w:val="0"/>
          <w:i w:val="0"/>
        </w:rPr>
        <w:t xml:space="preserve">; the Necesso team completes the deletion in the active system </w:t>
      </w:r>
      <w:r>
        <w:rPr>
          <w:b/>
          <w:i w:val="0"/>
        </w:rPr>
        <w:t>within 30 days of receiving the request</w:t>
      </w:r>
      <w:r>
        <w:rPr>
          <w:b w:val="0"/>
          <w:i w:val="0"/>
        </w:rPr>
        <w:t xml:space="preserve">, subject to statutory retention obligations. Alternatively, deletion can be requested through the </w:t>
      </w:r>
      <w:r>
        <w:rPr>
          <w:b w:val="0"/>
          <w:i w:val="0"/>
        </w:rPr>
        <w:t>Delete account</w:t>
      </w:r>
      <w:r>
        <w:rPr>
          <w:b w:val="0"/>
          <w:i w:val="0"/>
        </w:rPr>
        <w:t xml:space="preserve"> website page or by email to </w:t>
      </w:r>
      <w:r>
        <w:rPr>
          <w:b w:val="0"/>
          <w:i w:val="0"/>
        </w:rPr>
        <w:t>office@necesso.ai</w:t>
      </w:r>
      <w:r>
        <w:rPr>
          <w:b w:val="0"/>
          <w:i w:val="0"/>
        </w:rPr>
        <w:t>. Data may remain in internal backups under their separate retention periods.</w:t>
      </w:r>
    </w:p>
    <w:p>
      <w:r>
        <w:rPr>
          <w:b w:val="0"/>
          <w:i w:val="0"/>
        </w:rPr>
        <w:t>Apple and Google process their own data when you download and update the apps, in accordance with their privacy policies; we have no influence on this.</w:t>
      </w:r>
    </w:p>
    <w:p>
      <w:r>
        <w:rPr>
          <w:b/>
          <w:i w:val="0"/>
        </w:rPr>
        <w:t>Location:</w:t>
      </w:r>
      <w:r>
        <w:rPr>
          <w:b w:val="0"/>
          <w:i w:val="0"/>
        </w:rPr>
        <w:t xml:space="preserve"> The app does not access device location. </w:t>
      </w:r>
      <w:r>
        <w:rPr>
          <w:b/>
          <w:i w:val="0"/>
        </w:rPr>
        <w:t>Photo markup:</w:t>
      </w:r>
      <w:r>
        <w:rPr>
          <w:b w:val="0"/>
          <w:i w:val="0"/>
        </w:rPr>
        <w:t xml:space="preserve"> Annotated copies of photos are stored with the relevant job. </w:t>
      </w:r>
      <w:r>
        <w:rPr>
          <w:b/>
          <w:i w:val="0"/>
        </w:rPr>
        <w:t>Local drafts:</w:t>
      </w:r>
      <w:r>
        <w:rPr>
          <w:b w:val="0"/>
          <w:i w:val="0"/>
        </w:rPr>
        <w:t xml:space="preserve"> Unfinished entries are saved as drafts locally in the browser. </w:t>
      </w:r>
      <w:r>
        <w:rPr>
          <w:b/>
          <w:i w:val="0"/>
        </w:rPr>
        <w:t>Export:</w:t>
      </w:r>
      <w:r>
        <w:rPr>
          <w:b w:val="0"/>
          <w:i w:val="0"/>
        </w:rPr>
        <w:t xml:space="preserve"> Customer companies can export their company data. </w:t>
      </w:r>
      <w:r>
        <w:rPr>
          <w:b/>
          <w:i w:val="0"/>
        </w:rPr>
        <w:t>Staff classification:</w:t>
      </w:r>
      <w:r>
        <w:rPr>
          <w:b w:val="0"/>
          <w:i w:val="0"/>
        </w:rPr>
        <w:t xml:space="preserve"> Ranks and ratings are visible only to owners and managers of the respective customer company (section 3). </w:t>
      </w:r>
      <w:r>
        <w:rPr>
          <w:b/>
          <w:i w:val="0"/>
        </w:rPr>
        <w:t>Calls and SMS:</w:t>
      </w:r>
      <w:r>
        <w:rPr>
          <w:b w:val="0"/>
          <w:i w:val="0"/>
        </w:rPr>
        <w:t xml:space="preserve"> Twilio (Ireland, US company) is used only after activation; it processes phone numbers, call times and SMS content, potentially including processing in the USA under its DPA and EU Standard Contractual Clauses.</w:t>
      </w:r>
    </w:p>
    <w:p>
      <w:r>
        <w:rPr>
          <w:b/>
          <w:i w:val="0"/>
        </w:rPr>
        <w:t xml:space="preserve">Local drafts in the app: </w:t>
      </w:r>
      <w:r>
        <w:rPr>
          <w:b w:val="0"/>
          <w:i w:val="0"/>
        </w:rPr>
        <w:t>Incomplete entries are saved locally in the browser so users can resume interrupted work. They are used solely to restore the entry and are removed after saving or, at the latest, after 30 days. Depending on the sign-in option, they may also be removed on sign-out.</w:t>
      </w:r>
    </w:p>
    <w:p>
      <w:r>
        <w:rPr>
          <w:b/>
          <w:i w:val="0"/>
        </w:rPr>
        <w:t xml:space="preserve">Photo markup and company export: </w:t>
      </w:r>
      <w:r>
        <w:rPr>
          <w:b w:val="0"/>
          <w:i w:val="0"/>
        </w:rPr>
        <w:t>When photographs are marked up or annotated in Necesso, the edited copy is saved with the job. Authorised companies can export their business data from the platform.</w:t>
      </w:r>
    </w:p>
    <w:p>
      <w:r>
        <w:rPr>
          <w:b w:val="0"/>
          <w:i w:val="0"/>
        </w:rPr>
        <w:t xml:space="preserve">More details on </w:t>
      </w:r>
      <w:r>
        <w:rPr>
          <w:b w:val="0"/>
          <w:i w:val="0"/>
        </w:rPr>
        <w:t>account deletion</w:t>
      </w:r>
      <w:r>
        <w:rPr>
          <w:b w:val="0"/>
          <w:i w:val="0"/>
        </w:rPr>
        <w:t xml:space="preserve"> and </w:t>
      </w:r>
      <w:r>
        <w:rPr>
          <w:b w:val="0"/>
          <w:i w:val="0"/>
        </w:rPr>
        <w:t>local storage and security</w:t>
      </w:r>
      <w:r>
        <w:rPr>
          <w:b w:val="0"/>
          <w:i w:val="0"/>
        </w:rPr>
        <w:t xml:space="preserve"> are provided below.</w:t>
      </w:r>
    </w:p>
    <w:p>
      <w:pPr>
        <w:pStyle w:val="Heading1"/>
      </w:pPr>
      <w:r>
        <w:rPr>
          <w:b w:val="0"/>
          <w:i w:val="0"/>
        </w:rPr>
        <w:t>25. Recipients of personal data</w:t>
      </w:r>
    </w:p>
    <w:tbl>
      <w:tblPr>
        <w:tblStyle w:val="LightShading-Accent1"/>
        <w:tblW w:type="auto" w:w="0"/>
        <w:jc w:val="center"/>
        <w:tblLook w:firstColumn="1" w:firstRow="1" w:lastColumn="0" w:lastRow="0" w:noHBand="0" w:noVBand="1" w:val="04A0"/>
      </w:tblPr>
      <w:tblGrid>
        <w:gridCol w:w="2469"/>
        <w:gridCol w:w="2469"/>
        <w:gridCol w:w="2469"/>
        <w:gridCol w:w="2469"/>
      </w:tblGrid>
      <w:tr>
        <w:trPr>
          <w:tblHeader w:val="true"/>
        </w:trPr>
        <w:tc>
          <w:tcPr>
            <w:tcW w:type="dxa" w:w="2469"/>
            <w:vAlign w:val="center"/>
          </w:tcPr>
          <w:p>
            <w:r>
              <w:rPr>
                <w:b/>
                <w:i w:val="0"/>
                <w:sz w:val="16"/>
              </w:rPr>
              <w:t>Provider</w:t>
            </w:r>
          </w:p>
        </w:tc>
        <w:tc>
          <w:tcPr>
            <w:tcW w:type="dxa" w:w="2469"/>
            <w:vAlign w:val="center"/>
          </w:tcPr>
          <w:p>
            <w:r>
              <w:rPr>
                <w:b/>
                <w:i w:val="0"/>
                <w:sz w:val="16"/>
              </w:rPr>
              <w:t>What for</w:t>
            </w:r>
          </w:p>
        </w:tc>
        <w:tc>
          <w:tcPr>
            <w:tcW w:type="dxa" w:w="2469"/>
            <w:vAlign w:val="center"/>
          </w:tcPr>
          <w:p>
            <w:r>
              <w:rPr>
                <w:b/>
                <w:i w:val="0"/>
                <w:sz w:val="16"/>
              </w:rPr>
              <w:t>Where</w:t>
            </w:r>
          </w:p>
        </w:tc>
        <w:tc>
          <w:tcPr>
            <w:tcW w:type="dxa" w:w="2469"/>
            <w:vAlign w:val="center"/>
          </w:tcPr>
          <w:p>
            <w:r>
              <w:rPr>
                <w:b/>
                <w:i w:val="0"/>
                <w:sz w:val="16"/>
              </w:rPr>
              <w:t>Which data</w:t>
            </w:r>
          </w:p>
        </w:tc>
      </w:tr>
      <w:tr>
        <w:tc>
          <w:tcPr>
            <w:tcW w:type="dxa" w:w="2469"/>
            <w:vAlign w:val="center"/>
          </w:tcPr>
          <w:p>
            <w:r>
              <w:rPr>
                <w:b w:val="0"/>
                <w:i w:val="0"/>
                <w:sz w:val="16"/>
              </w:rPr>
              <w:t>Hetzner Online GmbH</w:t>
            </w:r>
          </w:p>
        </w:tc>
        <w:tc>
          <w:tcPr>
            <w:tcW w:type="dxa" w:w="2469"/>
            <w:vAlign w:val="center"/>
          </w:tcPr>
          <w:p>
            <w:r>
              <w:rPr>
                <w:b w:val="0"/>
                <w:i w:val="0"/>
                <w:sz w:val="16"/>
              </w:rPr>
              <w:t>servers and backups</w:t>
            </w:r>
          </w:p>
        </w:tc>
        <w:tc>
          <w:tcPr>
            <w:tcW w:type="dxa" w:w="2469"/>
            <w:vAlign w:val="center"/>
          </w:tcPr>
          <w:p>
            <w:r>
              <w:rPr>
                <w:b w:val="0"/>
                <w:i w:val="0"/>
                <w:sz w:val="16"/>
              </w:rPr>
              <w:t>Germany (Falkenstein) for companies based in the EU; for companies based in the USA a separate server in the United States, set up before they are onboarded</w:t>
            </w:r>
          </w:p>
        </w:tc>
        <w:tc>
          <w:tcPr>
            <w:tcW w:type="dxa" w:w="2469"/>
            <w:vAlign w:val="center"/>
          </w:tcPr>
          <w:p>
            <w:r>
              <w:rPr>
                <w:b w:val="0"/>
                <w:i w:val="0"/>
                <w:sz w:val="16"/>
              </w:rPr>
              <w:t>all stored data</w:t>
            </w:r>
          </w:p>
        </w:tc>
      </w:tr>
      <w:tr>
        <w:tc>
          <w:tcPr>
            <w:tcW w:type="dxa" w:w="2469"/>
            <w:vAlign w:val="center"/>
          </w:tcPr>
          <w:p>
            <w:r>
              <w:rPr>
                <w:b w:val="0"/>
                <w:i w:val="0"/>
                <w:sz w:val="16"/>
              </w:rPr>
              <w:t>Scaleway SAS</w:t>
            </w:r>
          </w:p>
        </w:tc>
        <w:tc>
          <w:tcPr>
            <w:tcW w:type="dxa" w:w="2469"/>
            <w:vAlign w:val="center"/>
          </w:tcPr>
          <w:p>
            <w:r>
              <w:rPr>
                <w:b w:val="0"/>
                <w:i w:val="0"/>
                <w:sz w:val="16"/>
              </w:rPr>
              <w:t>sending e-mail; the second copy of the backups</w:t>
            </w:r>
          </w:p>
        </w:tc>
        <w:tc>
          <w:tcPr>
            <w:tcW w:type="dxa" w:w="2469"/>
            <w:vAlign w:val="center"/>
          </w:tcPr>
          <w:p>
            <w:r>
              <w:rPr>
                <w:b w:val="0"/>
                <w:i w:val="0"/>
                <w:sz w:val="16"/>
              </w:rPr>
              <w:t>France (</w:t>
            </w:r>
            <w:r>
              <w:rPr>
                <w:b w:val="0"/>
                <w:i w:val="0"/>
                <w:sz w:val="16"/>
              </w:rPr>
              <w:t>fr-par</w:t>
            </w:r>
            <w:r>
              <w:rPr>
                <w:b w:val="0"/>
                <w:i w:val="0"/>
                <w:sz w:val="16"/>
              </w:rPr>
              <w:t>, Paris)</w:t>
            </w:r>
          </w:p>
        </w:tc>
        <w:tc>
          <w:tcPr>
            <w:tcW w:type="dxa" w:w="2469"/>
            <w:vAlign w:val="center"/>
          </w:tcPr>
          <w:p>
            <w:r>
              <w:rPr>
                <w:b w:val="0"/>
                <w:i w:val="0"/>
                <w:sz w:val="16"/>
              </w:rPr>
              <w:t>every e-mail Necesso sends: documents as PDF, invitations, password resets, login codes; the second backup copy: all stored data, encrypted by Necesso with AES-256 before transmission, locked against change, kept without a time limit</w:t>
            </w:r>
          </w:p>
        </w:tc>
      </w:tr>
      <w:tr>
        <w:tc>
          <w:tcPr>
            <w:tcW w:type="dxa" w:w="2469"/>
            <w:vAlign w:val="center"/>
          </w:tcPr>
          <w:p>
            <w:r>
              <w:rPr>
                <w:b w:val="0"/>
                <w:i w:val="0"/>
                <w:sz w:val="16"/>
              </w:rPr>
              <w:t>Mistral AI SAS</w:t>
            </w:r>
          </w:p>
        </w:tc>
        <w:tc>
          <w:tcPr>
            <w:tcW w:type="dxa" w:w="2469"/>
            <w:vAlign w:val="center"/>
          </w:tcPr>
          <w:p>
            <w:r>
              <w:rPr>
                <w:b w:val="0"/>
                <w:i w:val="0"/>
                <w:sz w:val="16"/>
              </w:rPr>
              <w:t>the assistant, receipts, the catalogue's AI search, spoken input (turning the recording into text with Voxtral, understanding the text), marking for the privacy gateway</w:t>
            </w:r>
          </w:p>
        </w:tc>
        <w:tc>
          <w:tcPr>
            <w:tcW w:type="dxa" w:w="2469"/>
            <w:vAlign w:val="center"/>
          </w:tcPr>
          <w:p>
            <w:r>
              <w:rPr>
                <w:b w:val="0"/>
                <w:i w:val="0"/>
                <w:sz w:val="16"/>
              </w:rPr>
              <w:t>EU endpoint (processing in the EU)</w:t>
            </w:r>
          </w:p>
        </w:tc>
        <w:tc>
          <w:tcPr>
            <w:tcW w:type="dxa" w:w="2469"/>
            <w:vAlign w:val="center"/>
          </w:tcPr>
          <w:p>
            <w:r>
              <w:rPr>
                <w:b w:val="0"/>
                <w:i w:val="0"/>
                <w:sz w:val="16"/>
              </w:rPr>
              <w:t>see "AI helpers"</w:t>
            </w:r>
          </w:p>
        </w:tc>
      </w:tr>
      <w:tr>
        <w:tc>
          <w:tcPr>
            <w:tcW w:type="dxa" w:w="2469"/>
            <w:vAlign w:val="center"/>
          </w:tcPr>
          <w:p>
            <w:r>
              <w:rPr>
                <w:b w:val="0"/>
                <w:i w:val="0"/>
                <w:sz w:val="16"/>
              </w:rPr>
              <w:t>Anthropic PBC</w:t>
            </w:r>
          </w:p>
        </w:tc>
        <w:tc>
          <w:tcPr>
            <w:tcW w:type="dxa" w:w="2469"/>
            <w:vAlign w:val="center"/>
          </w:tcPr>
          <w:p>
            <w:r>
              <w:rPr>
                <w:b w:val="0"/>
                <w:i w:val="0"/>
                <w:sz w:val="16"/>
              </w:rPr>
              <w:t>the other AI steps (e-mail, claim reports, quote and dunning drafts, dispatch proposals, reports)</w:t>
            </w:r>
          </w:p>
        </w:tc>
        <w:tc>
          <w:tcPr>
            <w:tcW w:type="dxa" w:w="2469"/>
            <w:vAlign w:val="center"/>
          </w:tcPr>
          <w:p>
            <w:r>
              <w:rPr>
                <w:b w:val="0"/>
                <w:i w:val="0"/>
                <w:sz w:val="16"/>
              </w:rPr>
              <w:t>USA</w:t>
            </w:r>
          </w:p>
        </w:tc>
        <w:tc>
          <w:tcPr>
            <w:tcW w:type="dxa" w:w="2469"/>
            <w:vAlign w:val="center"/>
          </w:tcPr>
          <w:p>
            <w:r>
              <w:rPr>
                <w:b w:val="0"/>
                <w:i w:val="0"/>
                <w:sz w:val="16"/>
              </w:rPr>
              <w:t>pseudonymised for EU companies; requests whose check fails or is identified as incomplete are withheld; unidentified personal details may nevertheless pass through (see above)</w:t>
            </w:r>
          </w:p>
        </w:tc>
      </w:tr>
      <w:tr>
        <w:tc>
          <w:tcPr>
            <w:tcW w:type="dxa" w:w="2469"/>
            <w:vAlign w:val="center"/>
          </w:tcPr>
          <w:p>
            <w:r>
              <w:rPr>
                <w:b w:val="0"/>
                <w:i w:val="0"/>
                <w:sz w:val="16"/>
              </w:rPr>
              <w:t>Migadu</w:t>
            </w:r>
          </w:p>
        </w:tc>
        <w:tc>
          <w:tcPr>
            <w:tcW w:type="dxa" w:w="2469"/>
            <w:vAlign w:val="center"/>
          </w:tcPr>
          <w:p>
            <w:r>
              <w:rPr>
                <w:b w:val="0"/>
                <w:i w:val="0"/>
                <w:sz w:val="16"/>
              </w:rPr>
              <w:t>the mailbox for e-mail to a company's Necesso address</w:t>
            </w:r>
          </w:p>
        </w:tc>
        <w:tc>
          <w:tcPr>
            <w:tcW w:type="dxa" w:w="2469"/>
            <w:vAlign w:val="center"/>
          </w:tcPr>
          <w:p>
            <w:r>
              <w:rPr>
                <w:b w:val="0"/>
                <w:i w:val="0"/>
                <w:sz w:val="16"/>
              </w:rPr>
              <w:t>mailboxes in the EEA / Switzerland; infrastructure at OVHcloud (France, the Netherlands)</w:t>
            </w:r>
          </w:p>
        </w:tc>
        <w:tc>
          <w:tcPr>
            <w:tcW w:type="dxa" w:w="2469"/>
            <w:vAlign w:val="center"/>
          </w:tcPr>
          <w:p>
            <w:r>
              <w:rPr>
                <w:b w:val="0"/>
                <w:i w:val="0"/>
                <w:sz w:val="16"/>
              </w:rPr>
              <w:t>incoming e-mail with attachments</w:t>
            </w:r>
          </w:p>
        </w:tc>
      </w:tr>
      <w:tr>
        <w:tc>
          <w:tcPr>
            <w:tcW w:type="dxa" w:w="2469"/>
            <w:vAlign w:val="center"/>
          </w:tcPr>
          <w:p>
            <w:r>
              <w:rPr>
                <w:b w:val="0"/>
                <w:i w:val="0"/>
                <w:sz w:val="16"/>
              </w:rPr>
              <w:t>OpenRouteService (HeiGIT gGmbH)</w:t>
            </w:r>
          </w:p>
        </w:tc>
        <w:tc>
          <w:tcPr>
            <w:tcW w:type="dxa" w:w="2469"/>
            <w:vAlign w:val="center"/>
          </w:tcPr>
          <w:p>
            <w:r>
              <w:rPr>
                <w:b w:val="0"/>
                <w:i w:val="0"/>
                <w:sz w:val="16"/>
              </w:rPr>
              <w:t>route planning, only when switched on</w:t>
            </w:r>
          </w:p>
        </w:tc>
        <w:tc>
          <w:tcPr>
            <w:tcW w:type="dxa" w:w="2469"/>
            <w:vAlign w:val="center"/>
          </w:tcPr>
          <w:p>
            <w:r>
              <w:rPr>
                <w:b w:val="0"/>
                <w:i w:val="0"/>
                <w:sz w:val="16"/>
              </w:rPr>
              <w:t>Germany (Heidelberg)</w:t>
            </w:r>
          </w:p>
        </w:tc>
        <w:tc>
          <w:tcPr>
            <w:tcW w:type="dxa" w:w="2469"/>
            <w:vAlign w:val="center"/>
          </w:tcPr>
          <w:p>
            <w:r>
              <w:rPr>
                <w:b w:val="0"/>
                <w:i w:val="0"/>
                <w:sz w:val="16"/>
              </w:rPr>
              <w:t>addresses and coordinates, no names</w:t>
            </w:r>
          </w:p>
        </w:tc>
      </w:tr>
      <w:tr>
        <w:tc>
          <w:tcPr>
            <w:tcW w:type="dxa" w:w="2469"/>
            <w:vAlign w:val="center"/>
          </w:tcPr>
          <w:p>
            <w:r>
              <w:rPr>
                <w:b w:val="0"/>
                <w:i w:val="0"/>
                <w:sz w:val="16"/>
              </w:rPr>
              <w:t>Enable Banking Oy</w:t>
            </w:r>
          </w:p>
        </w:tc>
        <w:tc>
          <w:tcPr>
            <w:tcW w:type="dxa" w:w="2469"/>
            <w:vAlign w:val="center"/>
          </w:tcPr>
          <w:p>
            <w:r>
              <w:rPr>
                <w:b w:val="0"/>
                <w:i w:val="0"/>
                <w:sz w:val="16"/>
              </w:rPr>
              <w:t>bank connection, from activation, when the company connects its account</w:t>
            </w:r>
          </w:p>
        </w:tc>
        <w:tc>
          <w:tcPr>
            <w:tcW w:type="dxa" w:w="2469"/>
            <w:vAlign w:val="center"/>
          </w:tcPr>
          <w:p>
            <w:r>
              <w:rPr>
                <w:b w:val="0"/>
                <w:i w:val="0"/>
                <w:sz w:val="16"/>
              </w:rPr>
              <w:t>Finland (Espoo)</w:t>
            </w:r>
          </w:p>
        </w:tc>
        <w:tc>
          <w:tcPr>
            <w:tcW w:type="dxa" w:w="2469"/>
            <w:vAlign w:val="center"/>
          </w:tcPr>
          <w:p>
            <w:r>
              <w:rPr>
                <w:b w:val="0"/>
                <w:i w:val="0"/>
                <w:sz w:val="16"/>
              </w:rPr>
              <w:t>account transactions (read-only): amount, date, reference, the payer's name and IBAN</w:t>
            </w:r>
          </w:p>
        </w:tc>
      </w:tr>
      <w:tr>
        <w:tc>
          <w:tcPr>
            <w:tcW w:type="dxa" w:w="2469"/>
            <w:vAlign w:val="center"/>
          </w:tcPr>
          <w:p>
            <w:r>
              <w:rPr>
                <w:b w:val="0"/>
                <w:i w:val="0"/>
                <w:sz w:val="16"/>
              </w:rPr>
              <w:t>Stripe Payments Europe Ltd.</w:t>
            </w:r>
          </w:p>
        </w:tc>
        <w:tc>
          <w:tcPr>
            <w:tcW w:type="dxa" w:w="2469"/>
            <w:vAlign w:val="center"/>
          </w:tcPr>
          <w:p>
            <w:r>
              <w:rPr>
                <w:b w:val="0"/>
                <w:i w:val="0"/>
                <w:sz w:val="16"/>
              </w:rPr>
              <w:t>online payments, from activation, when the company switches them on (hosted checkout)</w:t>
            </w:r>
          </w:p>
        </w:tc>
        <w:tc>
          <w:tcPr>
            <w:tcW w:type="dxa" w:w="2469"/>
            <w:vAlign w:val="center"/>
          </w:tcPr>
          <w:p>
            <w:r>
              <w:rPr>
                <w:b w:val="0"/>
                <w:i w:val="0"/>
                <w:sz w:val="16"/>
              </w:rPr>
              <w:t>Ireland</w:t>
            </w:r>
          </w:p>
        </w:tc>
        <w:tc>
          <w:tcPr>
            <w:tcW w:type="dxa" w:w="2469"/>
            <w:vAlign w:val="center"/>
          </w:tcPr>
          <w:p>
            <w:r>
              <w:rPr>
                <w:b w:val="0"/>
                <w:i w:val="0"/>
                <w:sz w:val="16"/>
              </w:rPr>
              <w:t>payment status, amounts, fees, payouts — no card data at Necesso</w:t>
            </w:r>
          </w:p>
        </w:tc>
      </w:tr>
      <w:tr>
        <w:tc>
          <w:tcPr>
            <w:tcW w:type="dxa" w:w="2469"/>
            <w:vAlign w:val="center"/>
          </w:tcPr>
          <w:p>
            <w:r>
              <w:rPr>
                <w:b w:val="0"/>
                <w:i w:val="0"/>
                <w:sz w:val="16"/>
              </w:rPr>
              <w:t>Adyen N.V.</w:t>
            </w:r>
          </w:p>
        </w:tc>
        <w:tc>
          <w:tcPr>
            <w:tcW w:type="dxa" w:w="2469"/>
            <w:vAlign w:val="center"/>
          </w:tcPr>
          <w:p>
            <w:r>
              <w:rPr>
                <w:b w:val="0"/>
                <w:i w:val="0"/>
                <w:sz w:val="16"/>
              </w:rPr>
              <w:t>online payments, from activation, when the company switches them on (hosted checkout)</w:t>
            </w:r>
          </w:p>
        </w:tc>
        <w:tc>
          <w:tcPr>
            <w:tcW w:type="dxa" w:w="2469"/>
            <w:vAlign w:val="center"/>
          </w:tcPr>
          <w:p>
            <w:r>
              <w:rPr>
                <w:b w:val="0"/>
                <w:i w:val="0"/>
                <w:sz w:val="16"/>
              </w:rPr>
              <w:t>the Netherlands</w:t>
            </w:r>
          </w:p>
        </w:tc>
        <w:tc>
          <w:tcPr>
            <w:tcW w:type="dxa" w:w="2469"/>
            <w:vAlign w:val="center"/>
          </w:tcPr>
          <w:p>
            <w:r>
              <w:rPr>
                <w:b w:val="0"/>
                <w:i w:val="0"/>
                <w:sz w:val="16"/>
              </w:rPr>
              <w:t>payment status, amounts, fees, payouts — no card data at Necesso</w:t>
            </w:r>
          </w:p>
        </w:tc>
      </w:tr>
      <w:tr>
        <w:tc>
          <w:tcPr>
            <w:tcW w:type="dxa" w:w="2469"/>
            <w:vAlign w:val="center"/>
          </w:tcPr>
          <w:p>
            <w:r>
              <w:rPr>
                <w:b w:val="0"/>
                <w:i w:val="0"/>
                <w:sz w:val="16"/>
              </w:rPr>
              <w:t>Meta Platforms Ireland Ltd</w:t>
            </w:r>
          </w:p>
        </w:tc>
        <w:tc>
          <w:tcPr>
            <w:tcW w:type="dxa" w:w="2469"/>
            <w:vAlign w:val="center"/>
          </w:tcPr>
          <w:p>
            <w:r>
              <w:rPr>
                <w:b w:val="0"/>
                <w:i w:val="0"/>
                <w:sz w:val="16"/>
              </w:rPr>
              <w:t>WhatsApp, from activation, when the company connects its number</w:t>
            </w:r>
          </w:p>
        </w:tc>
        <w:tc>
          <w:tcPr>
            <w:tcW w:type="dxa" w:w="2469"/>
            <w:vAlign w:val="center"/>
          </w:tcPr>
          <w:p>
            <w:r>
              <w:rPr>
                <w:b w:val="0"/>
                <w:i w:val="0"/>
                <w:sz w:val="16"/>
              </w:rPr>
              <w:t>Ireland</w:t>
            </w:r>
          </w:p>
        </w:tc>
        <w:tc>
          <w:tcPr>
            <w:tcW w:type="dxa" w:w="2469"/>
            <w:vAlign w:val="center"/>
          </w:tcPr>
          <w:p>
            <w:r>
              <w:rPr>
                <w:b w:val="0"/>
                <w:i w:val="0"/>
                <w:sz w:val="16"/>
              </w:rPr>
              <w:t>messages, phone numbers, names, media</w:t>
            </w:r>
          </w:p>
        </w:tc>
      </w:tr>
      <w:tr>
        <w:tc>
          <w:tcPr>
            <w:tcW w:type="dxa" w:w="2469"/>
            <w:vAlign w:val="center"/>
          </w:tcPr>
          <w:p>
            <w:r>
              <w:rPr>
                <w:b w:val="0"/>
                <w:i w:val="0"/>
                <w:sz w:val="16"/>
              </w:rPr>
              <w:t>Twilio Ireland Ltd</w:t>
            </w:r>
          </w:p>
        </w:tc>
        <w:tc>
          <w:tcPr>
            <w:tcW w:type="dxa" w:w="2469"/>
            <w:vAlign w:val="center"/>
          </w:tcPr>
          <w:p>
            <w:r>
              <w:rPr>
                <w:b w:val="0"/>
                <w:i w:val="0"/>
                <w:sz w:val="16"/>
              </w:rPr>
              <w:t>calls and SMS, from activation, when the company switches on a number</w:t>
            </w:r>
          </w:p>
        </w:tc>
        <w:tc>
          <w:tcPr>
            <w:tcW w:type="dxa" w:w="2469"/>
            <w:vAlign w:val="center"/>
          </w:tcPr>
          <w:p>
            <w:r>
              <w:rPr>
                <w:b w:val="0"/>
                <w:i w:val="0"/>
                <w:sz w:val="16"/>
              </w:rPr>
              <w:t>Ireland (IE1)</w:t>
            </w:r>
          </w:p>
        </w:tc>
        <w:tc>
          <w:tcPr>
            <w:tcW w:type="dxa" w:w="2469"/>
            <w:vAlign w:val="center"/>
          </w:tcPr>
          <w:p>
            <w:r>
              <w:rPr>
                <w:b w:val="0"/>
                <w:i w:val="0"/>
                <w:sz w:val="16"/>
              </w:rPr>
              <w:t>phone numbers, recordings (deleted there at once), SMS</w:t>
            </w:r>
          </w:p>
        </w:tc>
      </w:tr>
    </w:tbl>
    <w:p/>
    <w:p>
      <w:r>
        <w:rPr>
          <w:b w:val="0"/>
          <w:i w:val="0"/>
        </w:rPr>
        <w:t>Not processors: GitHub, GoDaddy and Microsoft 365 receive no company data.</w:t>
        <w:br/>
        <w:t>DATEV, BMD, Lexware Office and the wholesalers (Open Masterdata, IDS Connect)</w:t>
        <w:br/>
        <w:t>are recipients the company chooses itself, not processors of Necesso.</w:t>
        <w:br/>
        <w:t>Fonts are loaded from our own servers (no Google Fonts). Necesso uses no</w:t>
        <w:br/>
        <w:t>third-party analytics, crash-reporting or advertising software; its own search</w:t>
        <w:br/>
        <w:t>analytics are described above.</w:t>
      </w:r>
    </w:p>
    <w:p>
      <w:r>
        <w:rPr>
          <w:b/>
          <w:i w:val="0"/>
        </w:rPr>
        <w:t>Website and domain:</w:t>
      </w:r>
      <w:r>
        <w:rPr>
          <w:b w:val="0"/>
          <w:i w:val="0"/>
        </w:rPr>
        <w:t xml:space="preserve"> The marketing site is delivered by Netlify, Inc. (US/global). Netlify Web Analytics processes CDN logs for server-side usage statistics without a browser analytics cookie. GoDaddy manages the domain only. Optional Google Fonts are requested from Google Ireland Ltd. only after consent; otherwise system fonts are used. These website vendors are separate from the Necesso platform's sub-processors.</w:t>
      </w:r>
    </w:p>
    <w:p>
      <w:r>
        <w:rPr>
          <w:b w:val="0"/>
          <w:i w:val="0"/>
        </w:rPr>
        <w:t>Technical position as of 29 October 2026: Backup copies are encrypted by Necesso using AES-256 before transmission and protected against modification. Anthropic may still receive personal details that pseudonymisation fails to detect; a request is withheld only when the check explicitly fails or is identified as incomplete. Transfers outside the EEA are subject to the applicable provider agreements and safeguards under Art. 44 et seq. GDPR.</w:t>
      </w:r>
    </w:p>
    <w:p>
      <w:pPr>
        <w:pStyle w:val="Heading1"/>
      </w:pPr>
      <w:r>
        <w:rPr>
          <w:b w:val="0"/>
          <w:i w:val="0"/>
        </w:rPr>
        <w:t>26. Cookies and local storage</w:t>
      </w:r>
    </w:p>
    <w:p>
      <w:r>
        <w:rPr>
          <w:b/>
          <w:i w:val="0"/>
        </w:rPr>
        <w:t>Local drafts in the Necesso web app:</w:t>
      </w:r>
      <w:r>
        <w:rPr>
          <w:b w:val="0"/>
          <w:i w:val="0"/>
        </w:rPr>
        <w:t xml:space="preserve"> Unfinished entries are stored locally in the browser as drafts so work can be resumed. This is separate from the marketing website’s cookie choices described below.</w:t>
      </w:r>
    </w:p>
    <w:p>
      <w:r>
        <w:rPr>
          <w:b w:val="0"/>
          <w:i w:val="0"/>
        </w:rPr>
        <w:t>Cookies are small files that a website stores in your browser. Optional browser features are switched off on your first visit. We do not use analytics cookies or advertising trackers. Website statistics use server-side Netlify Web Analytics as described below.</w:t>
      </w:r>
    </w:p>
    <w:p>
      <w:r>
        <w:rPr>
          <w:b/>
          <w:i w:val="0"/>
        </w:rPr>
        <w:t>Netlify Web Analytics:</w:t>
      </w:r>
      <w:r>
        <w:rPr>
          <w:b w:val="0"/>
          <w:i w:val="0"/>
        </w:rPr>
        <w:t xml:space="preserve"> We analyse website use using server-side CDN access logs at Netlify. No browser analytics script is embedded and no analytics cookie is set for this purpose.</w:t>
      </w:r>
    </w:p>
    <w:p>
      <w:r>
        <w:rPr>
          <w:b/>
          <w:i w:val="0"/>
        </w:rPr>
        <w:t>Statistics:</w:t>
      </w:r>
      <w:r>
        <w:rPr>
          <w:b w:val="0"/>
          <w:i w:val="0"/>
        </w:rPr>
        <w:t xml:space="preserve"> These include pageviews, visitor counts, origin regions, pages requested, referring URLs and resources not found. Netlify uses distinct IP addresses to calculate visitor counts. According to Netlify’s documentation, dashboard views cover up to 30 days; this is not a guarantee that all technical or security logs are deleted after 30 days. Section 13 and the retention rules of the relevant service apply to those logs.</w:t>
      </w:r>
    </w:p>
    <w:p>
      <w:r>
        <w:rPr>
          <w:b/>
          <w:i w:val="0"/>
        </w:rPr>
        <w:t>Purpose and legal basis:</w:t>
      </w:r>
      <w:r>
        <w:rPr>
          <w:b w:val="0"/>
          <w:i w:val="0"/>
        </w:rPr>
        <w:t xml:space="preserve"> Statistical evaluation, improvement and stable operation of the website under Art. 6(1)(f) GDPR. You may object to this processing on grounds relating to your particular situation; contact: office@necesso.ai. Netlify is the recipient; section 13 covers international processing and contractual safeguards.</w:t>
      </w:r>
    </w:p>
    <w:p>
      <w:r>
        <w:rPr>
          <w:b/>
          <w:i w:val="0"/>
        </w:rPr>
        <w:t>Cookie choice:</w:t>
      </w:r>
      <w:r>
        <w:rPr>
          <w:b w:val="0"/>
          <w:i w:val="0"/>
        </w:rPr>
        <w:t xml:space="preserve"> The cookie-banner buttons control only optional browser features for the intro animation and external fonts. They do not disable server-side Netlify statistics. No advertising profiles are created, and no contact data from the Necesso platform is used for these website statistics.</w:t>
      </w:r>
    </w:p>
    <w:tbl>
      <w:tblPr>
        <w:tblStyle w:val="LightShading-Accent1"/>
        <w:tblW w:type="auto" w:w="0"/>
        <w:jc w:val="center"/>
        <w:tblLook w:firstColumn="1" w:firstRow="1" w:lastColumn="0" w:lastRow="0" w:noHBand="0" w:noVBand="1" w:val="04A0"/>
      </w:tblPr>
      <w:tblGrid>
        <w:gridCol w:w="1976"/>
        <w:gridCol w:w="1976"/>
        <w:gridCol w:w="1976"/>
        <w:gridCol w:w="1976"/>
        <w:gridCol w:w="1976"/>
      </w:tblGrid>
      <w:tr>
        <w:trPr>
          <w:tblHeader w:val="true"/>
        </w:trPr>
        <w:tc>
          <w:tcPr>
            <w:tcW w:type="dxa" w:w="1976"/>
            <w:vAlign w:val="center"/>
          </w:tcPr>
          <w:p>
            <w:r>
              <w:rPr>
                <w:b/>
                <w:i w:val="0"/>
                <w:sz w:val="16"/>
              </w:rPr>
              <w:t>Name</w:t>
            </w:r>
          </w:p>
        </w:tc>
        <w:tc>
          <w:tcPr>
            <w:tcW w:type="dxa" w:w="1976"/>
            <w:vAlign w:val="center"/>
          </w:tcPr>
          <w:p>
            <w:r>
              <w:rPr>
                <w:b/>
                <w:i w:val="0"/>
                <w:sz w:val="16"/>
              </w:rPr>
              <w:t>Type</w:t>
            </w:r>
          </w:p>
        </w:tc>
        <w:tc>
          <w:tcPr>
            <w:tcW w:type="dxa" w:w="1976"/>
            <w:vAlign w:val="center"/>
          </w:tcPr>
          <w:p>
            <w:r>
              <w:rPr>
                <w:b/>
                <w:i w:val="0"/>
                <w:sz w:val="16"/>
              </w:rPr>
              <w:t>Purpose</w:t>
            </w:r>
          </w:p>
        </w:tc>
        <w:tc>
          <w:tcPr>
            <w:tcW w:type="dxa" w:w="1976"/>
            <w:vAlign w:val="center"/>
          </w:tcPr>
          <w:p>
            <w:r>
              <w:rPr>
                <w:b/>
                <w:i w:val="0"/>
                <w:sz w:val="16"/>
              </w:rPr>
              <w:t>Duration</w:t>
            </w:r>
          </w:p>
        </w:tc>
        <w:tc>
          <w:tcPr>
            <w:tcW w:type="dxa" w:w="1976"/>
            <w:vAlign w:val="center"/>
          </w:tcPr>
          <w:p>
            <w:r>
              <w:rPr>
                <w:b/>
                <w:i w:val="0"/>
                <w:sz w:val="16"/>
              </w:rPr>
              <w:t>Legal basis</w:t>
            </w:r>
          </w:p>
        </w:tc>
      </w:tr>
      <w:tr>
        <w:tc>
          <w:tcPr>
            <w:tcW w:type="dxa" w:w="1976"/>
            <w:vAlign w:val="center"/>
          </w:tcPr>
          <w:p>
            <w:r>
              <w:rPr>
                <w:b w:val="0"/>
                <w:i w:val="0"/>
                <w:sz w:val="16"/>
              </w:rPr>
              <w:t>necesso_privacy</w:t>
            </w:r>
          </w:p>
        </w:tc>
        <w:tc>
          <w:tcPr>
            <w:tcW w:type="dxa" w:w="1976"/>
            <w:vAlign w:val="center"/>
          </w:tcPr>
          <w:p>
            <w:r>
              <w:rPr>
                <w:b w:val="0"/>
                <w:i w:val="0"/>
                <w:sz w:val="16"/>
              </w:rPr>
              <w:t>cookie, necessary</w:t>
            </w:r>
          </w:p>
        </w:tc>
        <w:tc>
          <w:tcPr>
            <w:tcW w:type="dxa" w:w="1976"/>
            <w:vAlign w:val="center"/>
          </w:tcPr>
          <w:p>
            <w:r>
              <w:rPr>
                <w:b w:val="0"/>
                <w:i w:val="0"/>
                <w:sz w:val="16"/>
              </w:rPr>
              <w:t>stores your cookie choice (version and yes/no values, no visitor ID)</w:t>
            </w:r>
          </w:p>
        </w:tc>
        <w:tc>
          <w:tcPr>
            <w:tcW w:type="dxa" w:w="1976"/>
            <w:vAlign w:val="center"/>
          </w:tcPr>
          <w:p>
            <w:r>
              <w:rPr>
                <w:b w:val="0"/>
                <w:i w:val="0"/>
                <w:sz w:val="16"/>
              </w:rPr>
              <w:t>up to 180 days</w:t>
            </w:r>
          </w:p>
        </w:tc>
        <w:tc>
          <w:tcPr>
            <w:tcW w:type="dxa" w:w="1976"/>
            <w:vAlign w:val="center"/>
          </w:tcPr>
          <w:p>
            <w:r>
              <w:rPr>
                <w:b w:val="0"/>
                <w:i w:val="0"/>
                <w:sz w:val="16"/>
              </w:rPr>
              <w:t>Sec. 165(3) TKG 2021; Art. 6(1)(f) GDPR</w:t>
            </w:r>
          </w:p>
        </w:tc>
      </w:tr>
      <w:tr>
        <w:tc>
          <w:tcPr>
            <w:tcW w:type="dxa" w:w="1976"/>
            <w:vAlign w:val="center"/>
          </w:tcPr>
          <w:p>
            <w:r>
              <w:rPr>
                <w:b w:val="0"/>
                <w:i w:val="0"/>
                <w:sz w:val="16"/>
              </w:rPr>
              <w:t>necesso-arrival-v4</w:t>
            </w:r>
          </w:p>
        </w:tc>
        <w:tc>
          <w:tcPr>
            <w:tcW w:type="dxa" w:w="1976"/>
            <w:vAlign w:val="center"/>
          </w:tcPr>
          <w:p>
            <w:r>
              <w:rPr>
                <w:b w:val="0"/>
                <w:i w:val="0"/>
                <w:sz w:val="16"/>
              </w:rPr>
              <w:t>sessionStorage, optional</w:t>
            </w:r>
          </w:p>
        </w:tc>
        <w:tc>
          <w:tcPr>
            <w:tcW w:type="dxa" w:w="1976"/>
            <w:vAlign w:val="center"/>
          </w:tcPr>
          <w:p>
            <w:r>
              <w:rPr>
                <w:b w:val="0"/>
                <w:i w:val="0"/>
                <w:sz w:val="16"/>
              </w:rPr>
              <w:t>remembers that the intro animation was shown (value “seen”)</w:t>
            </w:r>
          </w:p>
        </w:tc>
        <w:tc>
          <w:tcPr>
            <w:tcW w:type="dxa" w:w="1976"/>
            <w:vAlign w:val="center"/>
          </w:tcPr>
          <w:p>
            <w:r>
              <w:rPr>
                <w:b w:val="0"/>
                <w:i w:val="0"/>
                <w:sz w:val="16"/>
              </w:rPr>
              <w:t>end of session</w:t>
            </w:r>
          </w:p>
        </w:tc>
        <w:tc>
          <w:tcPr>
            <w:tcW w:type="dxa" w:w="1976"/>
            <w:vAlign w:val="center"/>
          </w:tcPr>
          <w:p>
            <w:r>
              <w:rPr>
                <w:b w:val="0"/>
                <w:i w:val="0"/>
                <w:sz w:val="16"/>
              </w:rPr>
              <w:t>consent, Art. 6(1)(a) GDPR, Sec. 165(3) TKG 2021</w:t>
            </w:r>
          </w:p>
        </w:tc>
      </w:tr>
      <w:tr>
        <w:tc>
          <w:tcPr>
            <w:tcW w:type="dxa" w:w="1976"/>
            <w:vAlign w:val="center"/>
          </w:tcPr>
          <w:p>
            <w:r>
              <w:rPr>
                <w:b w:val="0"/>
                <w:i w:val="0"/>
                <w:sz w:val="16"/>
              </w:rPr>
              <w:t>Google Fonts</w:t>
            </w:r>
          </w:p>
        </w:tc>
        <w:tc>
          <w:tcPr>
            <w:tcW w:type="dxa" w:w="1976"/>
            <w:vAlign w:val="center"/>
          </w:tcPr>
          <w:p>
            <w:r>
              <w:rPr>
                <w:b w:val="0"/>
                <w:i w:val="0"/>
                <w:sz w:val="16"/>
              </w:rPr>
              <w:t>external request, optional</w:t>
            </w:r>
          </w:p>
        </w:tc>
        <w:tc>
          <w:tcPr>
            <w:tcW w:type="dxa" w:w="1976"/>
            <w:vAlign w:val="center"/>
          </w:tcPr>
          <w:p>
            <w:r>
              <w:rPr>
                <w:b w:val="0"/>
                <w:i w:val="0"/>
                <w:sz w:val="16"/>
              </w:rPr>
              <w:t>loads the fonts Manrope and Space Grotesk</w:t>
            </w:r>
          </w:p>
        </w:tc>
        <w:tc>
          <w:tcPr>
            <w:tcW w:type="dxa" w:w="1976"/>
            <w:vAlign w:val="center"/>
          </w:tcPr>
          <w:p>
            <w:r>
              <w:rPr>
                <w:b w:val="0"/>
                <w:i w:val="0"/>
                <w:sz w:val="16"/>
              </w:rPr>
              <w:t>browser cache</w:t>
            </w:r>
          </w:p>
        </w:tc>
        <w:tc>
          <w:tcPr>
            <w:tcW w:type="dxa" w:w="1976"/>
            <w:vAlign w:val="center"/>
          </w:tcPr>
          <w:p>
            <w:r>
              <w:rPr>
                <w:b w:val="0"/>
                <w:i w:val="0"/>
                <w:sz w:val="16"/>
              </w:rPr>
              <w:t>consent, Art. 6(1)(a) GDPR</w:t>
            </w:r>
          </w:p>
        </w:tc>
      </w:tr>
    </w:tbl>
    <w:p/>
    <w:p>
      <w:r>
        <w:rPr>
          <w:b/>
          <w:i w:val="0"/>
        </w:rPr>
        <w:t>Google Fonts:</w:t>
      </w:r>
      <w:r>
        <w:rPr>
          <w:b w:val="0"/>
          <w:i w:val="0"/>
        </w:rPr>
        <w:t xml:space="preserve"> The provider is Google Ireland Limited, Gordon House, Barrow Street, Dublin 4, Ireland; affiliated company Google LLC, USA. Google receives your IP address and technical request data; processing outside the EU is possible. Without consent, we use system fonts.</w:t>
      </w:r>
    </w:p>
    <w:p>
      <w:r>
        <w:rPr>
          <w:b/>
          <w:i w:val="0"/>
        </w:rPr>
        <w:t>Changing settings:</w:t>
      </w:r>
      <w:r>
        <w:rPr>
          <w:b w:val="0"/>
          <w:i w:val="0"/>
        </w:rPr>
        <w:t xml:space="preserve"> You can change or withdraw your consent at any time via “Cookie settings” in the footer. “Necessary only” switches off both optional features. Withdrawal takes effect for the future; data already sent to Google cannot be retrieved. Without JavaScript, optional features remain switched off. You can also delete or block cookies in your browser at any time.</w:t>
      </w:r>
    </w:p>
    <w:p>
      <w:r>
        <w:rPr>
          <w:b/>
          <w:i w:val="0"/>
        </w:rPr>
        <w:t>Legal framework:</w:t>
      </w:r>
      <w:r>
        <w:rPr>
          <w:b w:val="0"/>
          <w:i w:val="0"/>
        </w:rPr>
        <w:t xml:space="preserve"> In Austria, Sec. 165(3) TKG 2021 applies; in Germany, § 25 TDDDG.</w:t>
      </w:r>
    </w:p>
    <w:p>
      <w:r>
        <w:rPr>
          <w:b/>
          <w:i w:val="0"/>
        </w:rPr>
        <w:t xml:space="preserve">Technical session data: </w:t>
      </w:r>
      <w:r>
        <w:rPr>
          <w:b w:val="0"/>
          <w:i w:val="0"/>
        </w:rPr>
        <w:t>In addition to local drafts, the Necesso web app may store necessary sign-in data and settings in the browser. This functional storage is separate from the marketing website’s consent preferences. It does not use advertising cookies to manage sign-in and interrupted workflows.</w:t>
      </w:r>
    </w:p>
    <w:p>
      <w:pPr>
        <w:pStyle w:val="Heading1"/>
      </w:pPr>
      <w:r>
        <w:rPr>
          <w:b w:val="0"/>
          <w:i w:val="0"/>
        </w:rPr>
        <w:t>27. Definitions</w:t>
      </w:r>
    </w:p>
    <w:p>
      <w:r>
        <w:rPr>
          <w:b w:val="0"/>
          <w:i w:val="0"/>
        </w:rPr>
        <w:t>Where terms are defined by law, the statutory definitions apply.</w:t>
      </w:r>
    </w:p>
    <w:p>
      <w:pPr>
        <w:pStyle w:val="ListBullet"/>
      </w:pPr>
      <w:r>
        <w:rPr>
          <w:b/>
          <w:i w:val="0"/>
        </w:rPr>
        <w:t>Personal data:</w:t>
      </w:r>
      <w:r>
        <w:rPr>
          <w:b w:val="0"/>
          <w:i w:val="0"/>
        </w:rPr>
        <w:t xml:space="preserve"> any information relating to an identified or identifiable natural person, for example by name, identification number, location data, online identifier or specific characteristics (Art. 4(1) GDPR).</w:t>
      </w:r>
    </w:p>
    <w:p>
      <w:pPr>
        <w:pStyle w:val="ListBullet"/>
      </w:pPr>
      <w:r>
        <w:rPr>
          <w:b/>
          <w:i w:val="0"/>
        </w:rPr>
        <w:t>Controller:</w:t>
      </w:r>
      <w:r>
        <w:rPr>
          <w:b w:val="0"/>
          <w:i w:val="0"/>
        </w:rPr>
        <w:t xml:space="preserve"> whoever, alone or jointly with others, determines the purposes and means of processing (Art. 4(7) GDPR).</w:t>
      </w:r>
    </w:p>
    <w:p>
      <w:pPr>
        <w:pStyle w:val="ListBullet"/>
      </w:pPr>
      <w:r>
        <w:rPr>
          <w:b/>
          <w:i w:val="0"/>
        </w:rPr>
        <w:t>Processor:</w:t>
      </w:r>
      <w:r>
        <w:rPr>
          <w:b w:val="0"/>
          <w:i w:val="0"/>
        </w:rPr>
        <w:t xml:space="preserve"> whoever processes personal data on behalf of the controller (Art. 4(8) GDPR).</w:t>
      </w:r>
    </w:p>
    <w:p>
      <w:pPr>
        <w:pStyle w:val="ListBullet"/>
      </w:pPr>
      <w:r>
        <w:rPr>
          <w:b/>
          <w:i w:val="0"/>
        </w:rPr>
        <w:t>Processing:</w:t>
      </w:r>
      <w:r>
        <w:rPr>
          <w:b w:val="0"/>
          <w:i w:val="0"/>
        </w:rPr>
        <w:t xml:space="preserve"> any operation performed on personal data, such as collection, storage, analysis, transfer or erasure (Art. 4(2) GDPR).</w:t>
      </w:r>
    </w:p>
    <w:p>
      <w:pPr>
        <w:pStyle w:val="ListBullet"/>
      </w:pPr>
      <w:r>
        <w:rPr>
          <w:b/>
          <w:i w:val="0"/>
        </w:rPr>
        <w:t>Pseudonymisation:</w:t>
      </w:r>
      <w:r>
        <w:rPr>
          <w:b w:val="0"/>
          <w:i w:val="0"/>
        </w:rPr>
        <w:t xml:space="preserve"> data is altered so that it can no longer be attributed to a person without additional information kept separately; in our case through placeholders (Art. 4(5) GDPR).</w:t>
      </w:r>
    </w:p>
    <w:p>
      <w:pPr>
        <w:pStyle w:val="ListBullet"/>
      </w:pPr>
      <w:r>
        <w:rPr>
          <w:b/>
          <w:i w:val="0"/>
        </w:rPr>
        <w:t>Third country:</w:t>
      </w:r>
      <w:r>
        <w:rPr>
          <w:b w:val="0"/>
          <w:i w:val="0"/>
        </w:rPr>
        <w:t xml:space="preserve"> any country outside the EU and the EEA.</w:t>
      </w:r>
    </w:p>
    <w:p>
      <w:pPr>
        <w:pStyle w:val="ListBullet"/>
      </w:pPr>
      <w:r>
        <w:rPr>
          <w:b/>
          <w:i w:val="0"/>
        </w:rPr>
        <w:t>Contact data:</w:t>
      </w:r>
      <w:r>
        <w:rPr>
          <w:b w:val="0"/>
          <w:i w:val="0"/>
        </w:rPr>
        <w:t xml:space="preserve"> phone numbers, postal addresses, e-mail addresses and identifiers in messengers or social media.</w:t>
      </w:r>
    </w:p>
    <w:p>
      <w:pPr>
        <w:pStyle w:val="ListBullet"/>
      </w:pPr>
      <w:r>
        <w:rPr>
          <w:b/>
          <w:i w:val="0"/>
        </w:rPr>
        <w:t>Contract data:</w:t>
      </w:r>
      <w:r>
        <w:rPr>
          <w:b w:val="0"/>
          <w:i w:val="0"/>
        </w:rPr>
        <w:t xml:space="preserve"> information on contracting parties, services, prices, payment terms, term and termination.</w:t>
      </w:r>
    </w:p>
    <w:p>
      <w:r>
        <w:rPr>
          <w:b w:val="0"/>
          <w:i w:val="0"/>
        </w:rPr>
        <w:t>As of: October 2026. Based on: AdSimple privacy policy generator for Austria, extended for the Necesso platform.</w:t>
      </w:r>
    </w:p>
    <w:p>
      <w:r>
        <w:rPr>
          <w:b w:val="0"/>
          <w:i w:val="0"/>
        </w:rPr>
        <w:t>Open cookie settings</w:t>
      </w:r>
    </w:p>
    <w:p>
      <w:r>
        <w:rPr>
          <w:b w:val="0"/>
          <w:i w:val="0"/>
        </w:rPr>
        <w:t>Back to top ↑</w:t>
      </w:r>
    </w:p>
    <w:p>
      <w:pPr>
        <w:pStyle w:val="Title"/>
        <w:pageBreakBefore/>
      </w:pPr>
      <w:r>
        <w:t>Data security – technical and organisational measures</w:t>
      </w:r>
    </w:p>
    <w:p>
      <w:r>
        <w:rPr>
          <w:b/>
          <w:color w:val="426E44"/>
          <w:sz w:val="16"/>
        </w:rPr>
        <w:t>ENGLISH</w:t>
      </w:r>
    </w:p>
    <w:p>
      <w:r>
        <w:rPr>
          <w:b w:val="0"/>
          <w:i w:val="0"/>
        </w:rPr>
        <w:t>Necesso operates the platform on Hetzner servers in Germany and encrypts offsite backups before transfer to Hetzner Storage Box and Scaleway in Paris. Depending on the feature, data is processed by the providers named in the privacy policy. Direct identifiers are replaced with placeholders before any transfer to Anthropic. This document describes measures under Art. 32 GDPR and is an annex to the data processing agreement (DPA).</w:t>
      </w:r>
    </w:p>
    <w:p>
      <w:pPr>
        <w:pStyle w:val="Heading1"/>
      </w:pPr>
      <w:r>
        <w:rPr>
          <w:b w:val="0"/>
          <w:i w:val="0"/>
        </w:rPr>
        <w:t>1. Overview</w:t>
      </w:r>
    </w:p>
    <w:tbl>
      <w:tblPr>
        <w:tblStyle w:val="LightShading-Accent1"/>
        <w:tblW w:type="auto" w:w="0"/>
        <w:jc w:val="center"/>
        <w:tblLook w:firstColumn="1" w:firstRow="1" w:lastColumn="0" w:lastRow="0" w:noHBand="0" w:noVBand="1" w:val="04A0"/>
      </w:tblPr>
      <w:tblGrid>
        <w:gridCol w:w="4939"/>
        <w:gridCol w:w="4939"/>
      </w:tblGrid>
      <w:tr>
        <w:trPr>
          <w:tblHeader w:val="true"/>
        </w:trPr>
        <w:tc>
          <w:tcPr>
            <w:tcW w:type="dxa" w:w="4939"/>
            <w:vAlign w:val="center"/>
          </w:tcPr>
          <w:p>
            <w:r>
              <w:rPr>
                <w:b/>
                <w:i w:val="0"/>
                <w:sz w:val="16"/>
              </w:rPr>
              <w:t>Area</w:t>
            </w:r>
          </w:p>
        </w:tc>
        <w:tc>
          <w:tcPr>
            <w:tcW w:type="dxa" w:w="4939"/>
            <w:vAlign w:val="center"/>
          </w:tcPr>
          <w:p>
            <w:r>
              <w:rPr>
                <w:b/>
                <w:i w:val="0"/>
                <w:sz w:val="16"/>
              </w:rPr>
              <w:t>Measure</w:t>
            </w:r>
          </w:p>
        </w:tc>
      </w:tr>
      <w:tr>
        <w:tc>
          <w:tcPr>
            <w:tcW w:type="dxa" w:w="4939"/>
            <w:vAlign w:val="center"/>
          </w:tcPr>
          <w:p>
            <w:r>
              <w:rPr>
                <w:b w:val="0"/>
                <w:i w:val="0"/>
                <w:sz w:val="16"/>
              </w:rPr>
              <w:t>Location</w:t>
            </w:r>
          </w:p>
        </w:tc>
        <w:tc>
          <w:tcPr>
            <w:tcW w:type="dxa" w:w="4939"/>
            <w:vAlign w:val="center"/>
          </w:tcPr>
          <w:p>
            <w:r>
              <w:rPr>
                <w:b w:val="0"/>
                <w:i w:val="0"/>
                <w:sz w:val="16"/>
              </w:rPr>
              <w:t>Hetzner Germany; AES-256-encrypted offsite copies on Hetzner Storage Box and Scaleway Paris</w:t>
            </w:r>
          </w:p>
        </w:tc>
      </w:tr>
      <w:tr>
        <w:tc>
          <w:tcPr>
            <w:tcW w:type="dxa" w:w="4939"/>
            <w:vAlign w:val="center"/>
          </w:tcPr>
          <w:p>
            <w:r>
              <w:rPr>
                <w:b w:val="0"/>
                <w:i w:val="0"/>
                <w:sz w:val="16"/>
              </w:rPr>
              <w:t>Encryption</w:t>
            </w:r>
          </w:p>
        </w:tc>
        <w:tc>
          <w:tcPr>
            <w:tcW w:type="dxa" w:w="4939"/>
            <w:vAlign w:val="center"/>
          </w:tcPr>
          <w:p>
            <w:r>
              <w:rPr>
                <w:b w:val="0"/>
                <w:i w:val="0"/>
                <w:sz w:val="16"/>
              </w:rPr>
              <w:t>TLS; AES-256 for selected secrets and backups before transfer by Necesso</w:t>
            </w:r>
          </w:p>
        </w:tc>
      </w:tr>
      <w:tr>
        <w:tc>
          <w:tcPr>
            <w:tcW w:type="dxa" w:w="4939"/>
            <w:vAlign w:val="center"/>
          </w:tcPr>
          <w:p>
            <w:r>
              <w:rPr>
                <w:b w:val="0"/>
                <w:i w:val="0"/>
                <w:sz w:val="16"/>
              </w:rPr>
              <w:t>Tenant isolation</w:t>
            </w:r>
          </w:p>
        </w:tc>
        <w:tc>
          <w:tcPr>
            <w:tcW w:type="dxa" w:w="4939"/>
            <w:vAlign w:val="center"/>
          </w:tcPr>
          <w:p>
            <w:r>
              <w:rPr>
                <w:b w:val="0"/>
                <w:i w:val="0"/>
                <w:sz w:val="16"/>
              </w:rPr>
              <w:t>Separate data and keys for each customer company</w:t>
            </w:r>
          </w:p>
        </w:tc>
      </w:tr>
      <w:tr>
        <w:tc>
          <w:tcPr>
            <w:tcW w:type="dxa" w:w="4939"/>
            <w:vAlign w:val="center"/>
          </w:tcPr>
          <w:p>
            <w:r>
              <w:rPr>
                <w:b w:val="0"/>
                <w:i w:val="0"/>
                <w:sz w:val="16"/>
              </w:rPr>
              <w:t>Access</w:t>
            </w:r>
          </w:p>
        </w:tc>
        <w:tc>
          <w:tcPr>
            <w:tcW w:type="dxa" w:w="4939"/>
            <w:vAlign w:val="center"/>
          </w:tcPr>
          <w:p>
            <w:r>
              <w:rPr>
                <w:b w:val="0"/>
                <w:i w:val="0"/>
                <w:sz w:val="16"/>
              </w:rPr>
              <w:t>Scoped permissions; privileged server access remains technically possible</w:t>
            </w:r>
          </w:p>
        </w:tc>
      </w:tr>
      <w:tr>
        <w:tc>
          <w:tcPr>
            <w:tcW w:type="dxa" w:w="4939"/>
            <w:vAlign w:val="center"/>
          </w:tcPr>
          <w:p>
            <w:r>
              <w:rPr>
                <w:b w:val="0"/>
                <w:i w:val="0"/>
                <w:sz w:val="16"/>
              </w:rPr>
              <w:t>AI</w:t>
            </w:r>
          </w:p>
        </w:tc>
        <w:tc>
          <w:tcPr>
            <w:tcW w:type="dxa" w:w="4939"/>
            <w:vAlign w:val="center"/>
          </w:tcPr>
          <w:p>
            <w:r>
              <w:rPr>
                <w:b w:val="0"/>
                <w:i w:val="0"/>
                <w:sz w:val="16"/>
              </w:rPr>
              <w:t>Mistral EU endpoint; Anthropic US only after privacy gateway (pseudonymisation, detection limits, transfer review)</w:t>
            </w:r>
          </w:p>
        </w:tc>
      </w:tr>
      <w:tr>
        <w:tc>
          <w:tcPr>
            <w:tcW w:type="dxa" w:w="4939"/>
            <w:vAlign w:val="center"/>
          </w:tcPr>
          <w:p>
            <w:r>
              <w:rPr>
                <w:b w:val="0"/>
                <w:i w:val="0"/>
                <w:sz w:val="16"/>
              </w:rPr>
              <w:t>Transcription</w:t>
            </w:r>
          </w:p>
        </w:tc>
        <w:tc>
          <w:tcPr>
            <w:tcW w:type="dxa" w:w="4939"/>
            <w:vAlign w:val="center"/>
          </w:tcPr>
          <w:p>
            <w:r>
              <w:rPr>
                <w:b w:val="0"/>
                <w:i w:val="0"/>
                <w:sz w:val="16"/>
              </w:rPr>
              <w:t>Voxtral EU for dictation DE/EN/HU/TR; Whisper on Hetzner for other dictation, all calls and WhatsApp voice notes</w:t>
            </w:r>
          </w:p>
        </w:tc>
      </w:tr>
      <w:tr>
        <w:tc>
          <w:tcPr>
            <w:tcW w:type="dxa" w:w="4939"/>
            <w:vAlign w:val="center"/>
          </w:tcPr>
          <w:p>
            <w:r>
              <w:rPr>
                <w:b w:val="0"/>
                <w:i w:val="0"/>
                <w:sz w:val="16"/>
              </w:rPr>
              <w:t>Deletion</w:t>
            </w:r>
          </w:p>
        </w:tc>
        <w:tc>
          <w:tcPr>
            <w:tcW w:type="dxa" w:w="4939"/>
            <w:vAlign w:val="center"/>
          </w:tcPr>
          <w:p>
            <w:r>
              <w:rPr>
                <w:b w:val="0"/>
                <w:i w:val="0"/>
                <w:sz w:val="16"/>
              </w:rPr>
              <w:t>Audio 7/14 days after transcript; earlier backup copies may persist</w:t>
            </w:r>
          </w:p>
        </w:tc>
      </w:tr>
      <w:tr>
        <w:tc>
          <w:tcPr>
            <w:tcW w:type="dxa" w:w="4939"/>
            <w:vAlign w:val="center"/>
          </w:tcPr>
          <w:p>
            <w:r>
              <w:rPr>
                <w:b w:val="0"/>
                <w:i w:val="0"/>
                <w:sz w:val="16"/>
              </w:rPr>
              <w:t>Backups</w:t>
            </w:r>
          </w:p>
        </w:tc>
        <w:tc>
          <w:tcPr>
            <w:tcW w:type="dxa" w:w="4939"/>
            <w:vAlign w:val="center"/>
          </w:tcPr>
          <w:p>
            <w:r>
              <w:rPr>
                <w:b w:val="0"/>
                <w:i w:val="0"/>
                <w:sz w:val="16"/>
              </w:rPr>
              <w:t>14 days on server; Hetzner Storage Box and Scaleway Paris without a set expiry</w:t>
            </w:r>
          </w:p>
        </w:tc>
      </w:tr>
    </w:tbl>
    <w:p/>
    <w:p>
      <w:pPr>
        <w:pStyle w:val="Heading1"/>
      </w:pPr>
      <w:r>
        <w:rPr>
          <w:b w:val="0"/>
          <w:i w:val="0"/>
        </w:rPr>
        <w:t>2. Hosting and data location</w:t>
      </w:r>
    </w:p>
    <w:p>
      <w:r>
        <w:rPr>
          <w:b w:val="0"/>
          <w:i w:val="0"/>
        </w:rPr>
        <w:t>Business data for EU-based customers is processed and stored at Hetzner in Germany. Nightly database and file backups include copies on a separate Hetzner Storage Box in Germany and a secondary copy at Scaleway Object Storage in Paris. Copies held on the server are retained for 14 days; the documented arrangement keeps Storage Box and Scaleway copies without a defined expiry. The Scaleway copy is encrypted at the storage provider. Website and platform are hosted separately: necesso.ai uses Netlify for the marketing site, and GoDaddy for domain management. Website and infrastructure logs have their own retention periods.</w:t>
      </w:r>
    </w:p>
    <w:p>
      <w:pPr>
        <w:pStyle w:val="Heading1"/>
      </w:pPr>
      <w:r>
        <w:rPr>
          <w:b w:val="0"/>
          <w:i w:val="0"/>
        </w:rPr>
        <w:t>3. Encryption</w:t>
      </w:r>
    </w:p>
    <w:p>
      <w:r>
        <w:rPr>
          <w:b w:val="0"/>
          <w:i w:val="0"/>
        </w:rPr>
        <w:t>Browser-to-service connections use HTTPS/TLS. The technical documentation describes AES-256 (pgcrypto) encryption for supplier credentials, authenticator secrets, bank sessions, WhatsApp tokens and known values used by the privacy gateway. Encryption keys are stored outside the database, separated by purpose, rotated periodically, and existing values are re-encrypted after rotation.</w:t>
      </w:r>
    </w:p>
    <w:p>
      <w:r>
        <w:rPr>
          <w:b/>
          <w:i w:val="0"/>
        </w:rPr>
        <w:t>Newly documented:</w:t>
      </w:r>
      <w:r>
        <w:rPr>
          <w:b w:val="0"/>
          <w:i w:val="0"/>
        </w:rPr>
        <w:t xml:space="preserve"> Necesso encrypts each nightly database and file backup itself using AES-256 </w:t>
      </w:r>
      <w:r>
        <w:rPr>
          <w:b/>
          <w:i w:val="0"/>
        </w:rPr>
        <w:t>before it leaves the server</w:t>
      </w:r>
      <w:r>
        <w:rPr>
          <w:b w:val="0"/>
          <w:i w:val="0"/>
        </w:rPr>
        <w:t>, with the backup key held separately. This does not mean that every primary server disk is encrypted: operator-managed full-disk encryption is not documented. Individual connections inside the same server's private container network do not all use separate TLS.</w:t>
      </w:r>
    </w:p>
    <w:p>
      <w:pPr>
        <w:pStyle w:val="Heading1"/>
      </w:pPr>
      <w:r>
        <w:rPr>
          <w:b w:val="0"/>
          <w:i w:val="0"/>
        </w:rPr>
        <w:t>4. Tenant separation and backups</w:t>
      </w:r>
    </w:p>
    <w:p>
      <w:r>
        <w:rPr>
          <w:b w:val="0"/>
          <w:i w:val="0"/>
        </w:rPr>
        <w:t>Database row-level security separates businesses; roles and function-specific permissions also restrict data visibility within each business, with server-side checks and automated tests.</w:t>
      </w:r>
    </w:p>
    <w:p>
      <w:r>
        <w:rPr>
          <w:b/>
          <w:i w:val="0"/>
        </w:rPr>
        <w:t>Backups:</w:t>
      </w:r>
      <w:r>
        <w:rPr>
          <w:b w:val="0"/>
          <w:i w:val="0"/>
        </w:rPr>
        <w:t xml:space="preserve"> Database and uploaded files are backed up nightly. Copies are kept for 14 days on the server and, according to the supplied documents, without a fixed expiry on Hetzner Storage Box (Germany) and Scaleway Object Storage (Paris). Necesso encrypts backup copies with AES-256 before transfer. The Scaleway copy is protected against modification and deletion for ten years in governance mode. Restoration tests and a deletion log are documented. </w:t>
      </w:r>
      <w:r>
        <w:rPr>
          <w:b/>
          <w:i w:val="0"/>
        </w:rPr>
        <w:t>Important:</w:t>
      </w:r>
      <w:r>
        <w:rPr>
          <w:b w:val="0"/>
          <w:i w:val="0"/>
        </w:rPr>
        <w:t xml:space="preserve"> personal data erased from the live system can remain in historic immutable backups; deletions are re-applied after restore. A finite retention policy for every backup tier is still required.</w:t>
      </w:r>
    </w:p>
    <w:p>
      <w:pPr>
        <w:pStyle w:val="Heading1"/>
      </w:pPr>
      <w:r>
        <w:rPr>
          <w:b w:val="0"/>
          <w:i w:val="0"/>
        </w:rPr>
        <w:t>5. Access control</w:t>
      </w:r>
    </w:p>
    <w:p>
      <w:r>
        <w:rPr>
          <w:b w:val="0"/>
          <w:i w:val="0"/>
        </w:rPr>
        <w:t>The service uses individual accounts, Argon2id password hashes, scoped access rights, passkeys and alternative two-factor methods. A passkey private key stays on the device; Necesso retains the public key, credential identifier, browser/system details and last-use timestamp. Passwords set through invitation or reset links are checked against breached-password datasets via a hash prefix sent to “Have I Been Pwned”; if that service is unavailable, the password is accepted under the documented behaviour.</w:t>
      </w:r>
    </w:p>
    <w:p>
      <w:r>
        <w:rPr>
          <w:b w:val="0"/>
          <w:i w:val="0"/>
        </w:rPr>
        <w:t>Privileged operators with server access can technically read the database. This access is not necessarily visible in the customer business's activity log; the service should not be described as technically inaccessible to all operators.</w:t>
      </w:r>
    </w:p>
    <w:p>
      <w:pPr>
        <w:pStyle w:val="Heading1"/>
      </w:pPr>
      <w:r>
        <w:rPr>
          <w:b w:val="0"/>
          <w:i w:val="0"/>
        </w:rPr>
        <w:t>6. AI features and pseudonymisation</w:t>
      </w:r>
    </w:p>
    <w:p>
      <w:r>
        <w:rPr>
          <w:b w:val="0"/>
          <w:i w:val="0"/>
        </w:rPr>
        <w:t>The in-app assistant is currently configured server-side to use Mistral AI's EU endpoint. Other documented Mistral functions include receipt reading, catalogue search and speech input. If the assistant were configured for Anthropic, its requests would have to pass the same privacy gateway as other Anthropic tasks. Each AI step should receive only the fields necessary for its task.</w:t>
      </w:r>
    </w:p>
    <w:p>
      <w:r>
        <w:rPr>
          <w:b w:val="0"/>
          <w:i w:val="0"/>
        </w:rPr>
        <w:t>For requests from EU-based businesses to Anthropic (USA), the gateway checks known identifiers in the records the requesting person may access, fixed patterns, and free-text names/addresses marked by Mistral. Detected values are replaced by per-request placeholders. Their value-to-placeholder mapping is held only in the EU server's memory while the request is running; known business-record values are held encrypted in the EU database. Restoring values is limited to records the requester is still authorised to see.</w:t>
      </w:r>
    </w:p>
    <w:p>
      <w:r>
        <w:rPr>
          <w:b/>
          <w:i w:val="0"/>
        </w:rPr>
        <w:t>Fail-closed and audit:</w:t>
      </w:r>
      <w:r>
        <w:rPr>
          <w:b w:val="0"/>
          <w:i w:val="0"/>
        </w:rPr>
        <w:t xml:space="preserve"> If a check fails or is identified as incomplete, the request is not sent to Anthropic and instead awaits a person's review. A send intent is recorded before transmission and the outcome afterward; absent outcome entries are treated as unknown. </w:t>
      </w:r>
      <w:r>
        <w:rPr>
          <w:b/>
          <w:i w:val="0"/>
        </w:rPr>
        <w:t>Limit:</w:t>
      </w:r>
      <w:r>
        <w:rPr>
          <w:b w:val="0"/>
          <w:i w:val="0"/>
        </w:rPr>
        <w:t xml:space="preserve"> Unrecognised nicknames, unusual spellings and indirectly identifying descriptions may still pass through. Pseudonymisation is not anonymisation, and an appropriate transfer mechanism under Articles 44 et seq. GDPR must still be verified.</w:t>
      </w:r>
    </w:p>
    <w:p>
      <w:r>
        <w:rPr>
          <w:b w:val="0"/>
          <w:i w:val="0"/>
        </w:rPr>
        <w:t>WhatsApp text and the documented derived records tagged as originating from speech are not routed to Anthropic for EU businesses; manually copied text and older records may not retain the origin tag.</w:t>
      </w:r>
    </w:p>
    <w:p>
      <w:pPr>
        <w:pStyle w:val="Heading1"/>
      </w:pPr>
      <w:r>
        <w:rPr>
          <w:b w:val="0"/>
          <w:i w:val="0"/>
        </w:rPr>
        <w:t>7. Call recording and transcription</w:t>
      </w:r>
    </w:p>
    <w:p>
      <w:r>
        <w:rPr>
          <w:b w:val="0"/>
          <w:i w:val="0"/>
        </w:rPr>
        <w:t>Once telephony is enabled, the current technical documentation describes an announcement at the beginning of the call followed by recording. The recording is retrieved and deleted from the telephony provider, then transcribed on Necesso's own servers with faster-whisper. Active call audio is deleted 14 days &lt;em&gt;after its transcript exists&lt;/em&gt;; WhatsApp voice messages and job audio after seven days. A missing transcript can prevent the automatic deadline from starting. Historical internal backups are separate. A spoken announcement is not proof of any legally required consent: the lawful basis and recording workflow must be reviewed before activation.</w:t>
      </w:r>
    </w:p>
    <w:p>
      <w:pPr>
        <w:pStyle w:val="Heading1"/>
      </w:pPr>
      <w:r>
        <w:rPr>
          <w:b w:val="0"/>
          <w:i w:val="0"/>
        </w:rPr>
        <w:t>8. Data transfers outside the EEA</w:t>
      </w:r>
    </w:p>
    <w:p>
      <w:r>
        <w:rPr>
          <w:b w:val="0"/>
          <w:i w:val="0"/>
        </w:rPr>
        <w:t>Four safeguards apply to pseudonymised customer data sent to Anthropic outside the EEA:</w:t>
      </w:r>
    </w:p>
    <w:p>
      <w:pPr>
        <w:pStyle w:val="ListNumber"/>
      </w:pPr>
      <w:r>
        <w:rPr>
          <w:b w:val="0"/>
          <w:i w:val="0"/>
        </w:rPr>
        <w:t>encrypted in transit, with separately protected selected secrets and provider-side encrypted offsite backups,</w:t>
      </w:r>
    </w:p>
    <w:p>
      <w:pPr>
        <w:pStyle w:val="ListNumber"/>
      </w:pPr>
      <w:r>
        <w:rPr>
          <w:b w:val="0"/>
          <w:i w:val="0"/>
        </w:rPr>
        <w:t>direct identifiers removed or replaced by placeholders beforehand,</w:t>
      </w:r>
    </w:p>
    <w:p>
      <w:pPr>
        <w:pStyle w:val="ListNumber"/>
      </w:pPr>
      <w:r>
        <w:rPr>
          <w:b w:val="0"/>
          <w:i w:val="0"/>
        </w:rPr>
        <w:t>the mapping key remains in the EEA,</w:t>
      </w:r>
    </w:p>
    <w:p>
      <w:pPr>
        <w:pStyle w:val="ListNumber"/>
      </w:pPr>
      <w:r>
        <w:rPr>
          <w:b w:val="0"/>
          <w:i w:val="0"/>
        </w:rPr>
        <w:t>legal basis under Art. 44 et seq. GDPR (adequacy decision or EU Standard Contractual Clauses).</w:t>
      </w:r>
    </w:p>
    <w:p>
      <w:r>
        <w:rPr>
          <w:b w:val="0"/>
          <w:i w:val="0"/>
        </w:rPr>
        <w:t>Otherwise no transfer to Anthropic takes place. Dictation audio in DE/EN/HU/TR is sent to Mistral’s EU API endpoint without a transfer outside the EEA. Once Twilio is activated, phone numbers, call times and SMS content may also be processed in the USA under its DPA and EU Standard Contractual Clauses. See privacy-policy section 10 for WhatsApp.</w:t>
      </w:r>
    </w:p>
    <w:p>
      <w:pPr>
        <w:pStyle w:val="Heading1"/>
      </w:pPr>
      <w:r>
        <w:rPr>
          <w:b w:val="0"/>
          <w:i w:val="0"/>
        </w:rPr>
        <w:t>9. Retention periods and deletion</w:t>
      </w:r>
    </w:p>
    <w:p>
      <w:r>
        <w:rPr>
          <w:b w:val="0"/>
          <w:i w:val="0"/>
        </w:rPr>
        <w:t>Business records are generally held for the contract term and, where applicable, statutory retention periods. Many Austrian accounting records require seven years. Call audio is deleted 14 days after transcription; WhatsApp and job audio seven days after transcription. If no transcript exists, the documents do not define an automatic deletion clock. Support chats remain until deleted, product search analytics for twelve months, and platform server logs for 30 days.</w:t>
      </w:r>
    </w:p>
    <w:p>
      <w:r>
        <w:rPr>
          <w:b w:val="0"/>
          <w:i w:val="0"/>
        </w:rPr>
        <w:t xml:space="preserve">Backups remain for 14 days on the server and are documented as currently having no fixed expiry on Hetzner Storage Box and Scaleway. Erasures are re-applied after restoration. </w:t>
      </w:r>
      <w:r>
        <w:rPr>
          <w:b/>
          <w:i w:val="0"/>
        </w:rPr>
        <w:t>Unlimited historical backup retention remains an unresolved GDPR storage-limitation issue.</w:t>
      </w:r>
      <w:r>
        <w:rPr>
          <w:b w:val="0"/>
          <w:i w:val="0"/>
        </w:rPr>
        <w:t xml:space="preserve"> See the </w:t>
      </w:r>
      <w:r>
        <w:rPr>
          <w:b w:val="0"/>
          <w:i w:val="0"/>
        </w:rPr>
        <w:t>privacy policy</w:t>
      </w:r>
      <w:r>
        <w:rPr>
          <w:b w:val="0"/>
          <w:i w:val="0"/>
        </w:rPr>
        <w:t>.</w:t>
      </w:r>
    </w:p>
    <w:p>
      <w:pPr>
        <w:pStyle w:val="Heading1"/>
      </w:pPr>
      <w:r>
        <w:rPr>
          <w:b w:val="0"/>
          <w:i w:val="0"/>
        </w:rPr>
        <w:t>10. Logging and monitoring</w:t>
      </w:r>
    </w:p>
    <w:p>
      <w:r>
        <w:rPr>
          <w:b w:val="0"/>
          <w:i w:val="0"/>
        </w:rPr>
        <w:t>Authentication and security events, permission changes and business operations are logged according to the technical annex. The privacy gateway logs the intended transmission before sending an Anthropic request and then its result (sent, EU-processed, refused or provider error), without the detected personal values. Missing outcome entries are marked unknown; businesses can review and export monthly evidence. The retention period for this evidence remains undetermined.</w:t>
      </w:r>
    </w:p>
    <w:p>
      <w:r>
        <w:rPr>
          <w:b w:val="0"/>
          <w:i w:val="0"/>
        </w:rPr>
        <w:t>Under the final documentation, platform server logs contain no passwords, content, names, email addresses or telephone numbers and are deleted after 30 days. This does not cover Netlify website logs. Product search analytics are retained for twelve months after filtering recognised identifiers; recently entered or unusual identifiers may still be missed. Privileged direct database access outside the customer-facing application is not comprehensively reflected in customer activity logs.</w:t>
      </w:r>
    </w:p>
    <w:p>
      <w:pPr>
        <w:pStyle w:val="Heading1"/>
      </w:pPr>
      <w:r>
        <w:rPr>
          <w:b w:val="0"/>
          <w:i w:val="0"/>
        </w:rPr>
        <w:t>11. Personal data breaches</w:t>
      </w:r>
    </w:p>
    <w:p>
      <w:pPr>
        <w:pStyle w:val="ListBullet"/>
      </w:pPr>
      <w:r>
        <w:rPr>
          <w:b w:val="0"/>
          <w:i w:val="0"/>
        </w:rPr>
        <w:t>The Contractor informs affected client businesses without undue delay after becoming aware of a breach of their data.</w:t>
      </w:r>
    </w:p>
    <w:p>
      <w:pPr>
        <w:pStyle w:val="ListBullet"/>
      </w:pPr>
      <w:r>
        <w:rPr>
          <w:b w:val="0"/>
          <w:i w:val="0"/>
        </w:rPr>
        <w:t>It supports them in notifying the data protection authority within 72 hours (Art. 33 GDPR) and in informing data subjects.</w:t>
      </w:r>
    </w:p>
    <w:p>
      <w:pPr>
        <w:pStyle w:val="Heading1"/>
      </w:pPr>
      <w:r>
        <w:rPr>
          <w:b w:val="0"/>
          <w:i w:val="0"/>
        </w:rPr>
        <w:t>12. Sub-processors</w:t>
      </w:r>
    </w:p>
    <w:tbl>
      <w:tblPr>
        <w:tblStyle w:val="LightShading-Accent1"/>
        <w:tblW w:type="auto" w:w="0"/>
        <w:jc w:val="center"/>
        <w:tblLook w:firstColumn="1" w:firstRow="1" w:lastColumn="0" w:lastRow="0" w:noHBand="0" w:noVBand="1" w:val="04A0"/>
      </w:tblPr>
      <w:tblGrid>
        <w:gridCol w:w="2469"/>
        <w:gridCol w:w="2469"/>
        <w:gridCol w:w="2469"/>
        <w:gridCol w:w="2469"/>
      </w:tblGrid>
      <w:tr>
        <w:trPr>
          <w:tblHeader w:val="true"/>
        </w:trPr>
        <w:tc>
          <w:tcPr>
            <w:tcW w:type="dxa" w:w="2469"/>
            <w:vAlign w:val="center"/>
          </w:tcPr>
          <w:p>
            <w:r>
              <w:rPr>
                <w:b/>
                <w:i w:val="0"/>
                <w:sz w:val="16"/>
              </w:rPr>
              <w:t>Provider</w:t>
            </w:r>
          </w:p>
        </w:tc>
        <w:tc>
          <w:tcPr>
            <w:tcW w:type="dxa" w:w="2469"/>
            <w:vAlign w:val="center"/>
          </w:tcPr>
          <w:p>
            <w:r>
              <w:rPr>
                <w:b/>
                <w:i w:val="0"/>
                <w:sz w:val="16"/>
              </w:rPr>
              <w:t>Purpose</w:t>
            </w:r>
          </w:p>
        </w:tc>
        <w:tc>
          <w:tcPr>
            <w:tcW w:type="dxa" w:w="2469"/>
            <w:vAlign w:val="center"/>
          </w:tcPr>
          <w:p>
            <w:r>
              <w:rPr>
                <w:b/>
                <w:i w:val="0"/>
                <w:sz w:val="16"/>
              </w:rPr>
              <w:t>Location</w:t>
            </w:r>
          </w:p>
        </w:tc>
        <w:tc>
          <w:tcPr>
            <w:tcW w:type="dxa" w:w="2469"/>
            <w:vAlign w:val="center"/>
          </w:tcPr>
          <w:p>
            <w:r>
              <w:rPr>
                <w:b/>
                <w:i w:val="0"/>
                <w:sz w:val="16"/>
              </w:rPr>
              <w:t>Basis</w:t>
            </w:r>
          </w:p>
        </w:tc>
      </w:tr>
      <w:tr>
        <w:tc>
          <w:tcPr>
            <w:tcW w:type="dxa" w:w="2469"/>
            <w:vAlign w:val="center"/>
          </w:tcPr>
          <w:p>
            <w:r>
              <w:rPr>
                <w:b w:val="0"/>
                <w:i w:val="0"/>
                <w:sz w:val="16"/>
              </w:rPr>
              <w:t>Hetzner Online GmbH</w:t>
            </w:r>
          </w:p>
        </w:tc>
        <w:tc>
          <w:tcPr>
            <w:tcW w:type="dxa" w:w="2469"/>
            <w:vAlign w:val="center"/>
          </w:tcPr>
          <w:p>
            <w:r>
              <w:rPr>
                <w:b w:val="0"/>
                <w:i w:val="0"/>
                <w:sz w:val="16"/>
              </w:rPr>
              <w:t>Servers, daily backups, in-house Whisper transcription, Piper text-to-speech</w:t>
            </w:r>
          </w:p>
        </w:tc>
        <w:tc>
          <w:tcPr>
            <w:tcW w:type="dxa" w:w="2469"/>
            <w:vAlign w:val="center"/>
          </w:tcPr>
          <w:p>
            <w:r>
              <w:rPr>
                <w:b w:val="0"/>
                <w:i w:val="0"/>
                <w:sz w:val="16"/>
              </w:rPr>
              <w:t>Germany</w:t>
            </w:r>
          </w:p>
        </w:tc>
        <w:tc>
          <w:tcPr>
            <w:tcW w:type="dxa" w:w="2469"/>
            <w:vAlign w:val="center"/>
          </w:tcPr>
          <w:p>
            <w:r>
              <w:rPr>
                <w:b w:val="0"/>
                <w:i w:val="0"/>
                <w:sz w:val="16"/>
              </w:rPr>
              <w:t>EU</w:t>
            </w:r>
          </w:p>
        </w:tc>
      </w:tr>
      <w:tr>
        <w:tc>
          <w:tcPr>
            <w:tcW w:type="dxa" w:w="2469"/>
            <w:vAlign w:val="center"/>
          </w:tcPr>
          <w:p>
            <w:r>
              <w:rPr>
                <w:b w:val="0"/>
                <w:i w:val="0"/>
                <w:sz w:val="16"/>
              </w:rPr>
              <w:t>Scaleway</w:t>
            </w:r>
          </w:p>
        </w:tc>
        <w:tc>
          <w:tcPr>
            <w:tcW w:type="dxa" w:w="2469"/>
            <w:vAlign w:val="center"/>
          </w:tcPr>
          <w:p>
            <w:r>
              <w:rPr>
                <w:b w:val="0"/>
                <w:i w:val="0"/>
                <w:sz w:val="16"/>
              </w:rPr>
              <w:t>Outgoing email (recipient, name, subject, body, attachments); encrypted offsite backups (Paris)</w:t>
            </w:r>
          </w:p>
        </w:tc>
        <w:tc>
          <w:tcPr>
            <w:tcW w:type="dxa" w:w="2469"/>
            <w:vAlign w:val="center"/>
          </w:tcPr>
          <w:p>
            <w:r>
              <w:rPr>
                <w:b w:val="0"/>
                <w:i w:val="0"/>
                <w:sz w:val="16"/>
              </w:rPr>
              <w:t>France</w:t>
            </w:r>
          </w:p>
        </w:tc>
        <w:tc>
          <w:tcPr>
            <w:tcW w:type="dxa" w:w="2469"/>
            <w:vAlign w:val="center"/>
          </w:tcPr>
          <w:p>
            <w:r>
              <w:rPr>
                <w:b w:val="0"/>
                <w:i w:val="0"/>
                <w:sz w:val="16"/>
              </w:rPr>
              <w:t>EU</w:t>
            </w:r>
          </w:p>
        </w:tc>
      </w:tr>
      <w:tr>
        <w:tc>
          <w:tcPr>
            <w:tcW w:type="dxa" w:w="2469"/>
            <w:vAlign w:val="center"/>
          </w:tcPr>
          <w:p>
            <w:r>
              <w:rPr>
                <w:b w:val="0"/>
                <w:i w:val="0"/>
                <w:sz w:val="16"/>
              </w:rPr>
              <w:t>Migadu (infrastructure: OVHcloud)</w:t>
            </w:r>
          </w:p>
        </w:tc>
        <w:tc>
          <w:tcPr>
            <w:tcW w:type="dxa" w:w="2469"/>
            <w:vAlign w:val="center"/>
          </w:tcPr>
          <w:p>
            <w:r>
              <w:rPr>
                <w:b w:val="0"/>
                <w:i w:val="0"/>
                <w:sz w:val="16"/>
              </w:rPr>
              <w:t>Incoming email and mailboxes; DPA pre-signed</w:t>
            </w:r>
          </w:p>
        </w:tc>
        <w:tc>
          <w:tcPr>
            <w:tcW w:type="dxa" w:w="2469"/>
            <w:vAlign w:val="center"/>
          </w:tcPr>
          <w:p>
            <w:r>
              <w:rPr>
                <w:b w:val="0"/>
                <w:i w:val="0"/>
                <w:sz w:val="16"/>
              </w:rPr>
              <w:t>EEA / Switzerland; infrastructure France / Netherlands</w:t>
            </w:r>
          </w:p>
        </w:tc>
        <w:tc>
          <w:tcPr>
            <w:tcW w:type="dxa" w:w="2469"/>
            <w:vAlign w:val="center"/>
          </w:tcPr>
          <w:p>
            <w:r>
              <w:rPr>
                <w:b w:val="0"/>
                <w:i w:val="0"/>
                <w:sz w:val="16"/>
              </w:rPr>
              <w:t>EEA / Switzerland</w:t>
            </w:r>
          </w:p>
        </w:tc>
      </w:tr>
      <w:tr>
        <w:tc>
          <w:tcPr>
            <w:tcW w:type="dxa" w:w="2469"/>
            <w:vAlign w:val="center"/>
          </w:tcPr>
          <w:p>
            <w:r>
              <w:rPr>
                <w:b w:val="0"/>
                <w:i w:val="0"/>
                <w:sz w:val="16"/>
              </w:rPr>
              <w:t>Mistral AI</w:t>
            </w:r>
          </w:p>
        </w:tc>
        <w:tc>
          <w:tcPr>
            <w:tcW w:type="dxa" w:w="2469"/>
            <w:vAlign w:val="center"/>
          </w:tcPr>
          <w:p>
            <w:r>
              <w:rPr>
                <w:b w:val="0"/>
                <w:i w:val="0"/>
                <w:sz w:val="16"/>
              </w:rPr>
              <w:t>AI assistant, support chat, receipt reading, privacy detection, dictation (Voxtral: DE/EN/HU/TR), AI text correction</w:t>
            </w:r>
          </w:p>
        </w:tc>
        <w:tc>
          <w:tcPr>
            <w:tcW w:type="dxa" w:w="2469"/>
            <w:vAlign w:val="center"/>
          </w:tcPr>
          <w:p>
            <w:r>
              <w:rPr>
                <w:b w:val="0"/>
                <w:i w:val="0"/>
                <w:sz w:val="16"/>
              </w:rPr>
              <w:t>EU API api.eu.mistral.ai</w:t>
            </w:r>
          </w:p>
        </w:tc>
        <w:tc>
          <w:tcPr>
            <w:tcW w:type="dxa" w:w="2469"/>
            <w:vAlign w:val="center"/>
          </w:tcPr>
          <w:p>
            <w:r>
              <w:rPr>
                <w:b w:val="0"/>
                <w:i w:val="0"/>
                <w:sz w:val="16"/>
              </w:rPr>
              <w:t>EU; API inputs and outputs retained 30 days for abuse monitoring</w:t>
            </w:r>
          </w:p>
        </w:tc>
      </w:tr>
      <w:tr>
        <w:tc>
          <w:tcPr>
            <w:tcW w:type="dxa" w:w="2469"/>
            <w:vAlign w:val="center"/>
          </w:tcPr>
          <w:p>
            <w:r>
              <w:rPr>
                <w:b w:val="0"/>
                <w:i w:val="0"/>
                <w:sz w:val="16"/>
              </w:rPr>
              <w:t>Anthropic PBC</w:t>
            </w:r>
          </w:p>
        </w:tc>
        <w:tc>
          <w:tcPr>
            <w:tcW w:type="dxa" w:w="2469"/>
            <w:vAlign w:val="center"/>
          </w:tcPr>
          <w:p>
            <w:r>
              <w:rPr>
                <w:b w:val="0"/>
                <w:i w:val="0"/>
                <w:sz w:val="16"/>
              </w:rPr>
              <w:t>AI helper functions, pseudonymised data only (placeholders)</w:t>
            </w:r>
          </w:p>
        </w:tc>
        <w:tc>
          <w:tcPr>
            <w:tcW w:type="dxa" w:w="2469"/>
            <w:vAlign w:val="center"/>
          </w:tcPr>
          <w:p>
            <w:r>
              <w:rPr>
                <w:b w:val="0"/>
                <w:i w:val="0"/>
                <w:sz w:val="16"/>
              </w:rPr>
              <w:t>USA</w:t>
            </w:r>
          </w:p>
        </w:tc>
        <w:tc>
          <w:tcPr>
            <w:tcW w:type="dxa" w:w="2469"/>
            <w:vAlign w:val="center"/>
          </w:tcPr>
          <w:p>
            <w:r>
              <w:rPr>
                <w:b w:val="0"/>
                <w:i w:val="0"/>
                <w:sz w:val="16"/>
              </w:rPr>
              <w:t>EU Standard Contractual Clauses in DPA</w:t>
            </w:r>
          </w:p>
        </w:tc>
      </w:tr>
      <w:tr>
        <w:tc>
          <w:tcPr>
            <w:tcW w:type="dxa" w:w="2469"/>
            <w:vAlign w:val="center"/>
          </w:tcPr>
          <w:p>
            <w:r>
              <w:rPr>
                <w:b w:val="0"/>
                <w:i w:val="0"/>
                <w:sz w:val="16"/>
              </w:rPr>
              <w:t>Meta Platforms Ireland Ltd.</w:t>
            </w:r>
          </w:p>
        </w:tc>
        <w:tc>
          <w:tcPr>
            <w:tcW w:type="dxa" w:w="2469"/>
            <w:vAlign w:val="center"/>
          </w:tcPr>
          <w:p>
            <w:r>
              <w:rPr>
                <w:b w:val="0"/>
                <w:i w:val="0"/>
                <w:sz w:val="16"/>
              </w:rPr>
              <w:t>WhatsApp Business Platform</w:t>
            </w:r>
          </w:p>
        </w:tc>
        <w:tc>
          <w:tcPr>
            <w:tcW w:type="dxa" w:w="2469"/>
            <w:vAlign w:val="center"/>
          </w:tcPr>
          <w:p>
            <w:r>
              <w:rPr>
                <w:b w:val="0"/>
                <w:i w:val="0"/>
                <w:sz w:val="16"/>
              </w:rPr>
              <w:t>Ireland (EU)</w:t>
            </w:r>
          </w:p>
        </w:tc>
        <w:tc>
          <w:tcPr>
            <w:tcW w:type="dxa" w:w="2469"/>
            <w:vAlign w:val="center"/>
          </w:tcPr>
          <w:p>
            <w:r>
              <w:rPr>
                <w:b w:val="0"/>
                <w:i w:val="0"/>
                <w:sz w:val="16"/>
              </w:rPr>
              <w:t>where applicable EU-US DPF via Meta Platforms, Inc.</w:t>
            </w:r>
          </w:p>
        </w:tc>
      </w:tr>
      <w:tr>
        <w:tc>
          <w:tcPr>
            <w:tcW w:type="dxa" w:w="2469"/>
            <w:vAlign w:val="center"/>
          </w:tcPr>
          <w:p>
            <w:r>
              <w:rPr>
                <w:b w:val="0"/>
                <w:i w:val="0"/>
                <w:sz w:val="16"/>
              </w:rPr>
              <w:t>OpenRouteService (HeiGIT)</w:t>
            </w:r>
          </w:p>
        </w:tc>
        <w:tc>
          <w:tcPr>
            <w:tcW w:type="dxa" w:w="2469"/>
            <w:vAlign w:val="center"/>
          </w:tcPr>
          <w:p>
            <w:r>
              <w:rPr>
                <w:b w:val="0"/>
                <w:i w:val="0"/>
                <w:sz w:val="16"/>
              </w:rPr>
              <w:t>Optional route planning: customer addresses and map coordinates, no names, telephone numbers or device location</w:t>
            </w:r>
          </w:p>
        </w:tc>
        <w:tc>
          <w:tcPr>
            <w:tcW w:type="dxa" w:w="2469"/>
            <w:vAlign w:val="center"/>
          </w:tcPr>
          <w:p>
            <w:r>
              <w:rPr>
                <w:b w:val="0"/>
                <w:i w:val="0"/>
                <w:sz w:val="16"/>
              </w:rPr>
              <w:t>Germany</w:t>
            </w:r>
          </w:p>
        </w:tc>
        <w:tc>
          <w:tcPr>
            <w:tcW w:type="dxa" w:w="2469"/>
            <w:vAlign w:val="center"/>
          </w:tcPr>
          <w:p>
            <w:r>
              <w:rPr>
                <w:b w:val="0"/>
                <w:i w:val="0"/>
                <w:sz w:val="16"/>
              </w:rPr>
              <w:t>EU; only if enabled by the company</w:t>
            </w:r>
          </w:p>
        </w:tc>
      </w:tr>
      <w:tr>
        <w:tc>
          <w:tcPr>
            <w:tcW w:type="dxa" w:w="2469"/>
            <w:vAlign w:val="center"/>
          </w:tcPr>
          <w:p>
            <w:r>
              <w:rPr>
                <w:b w:val="0"/>
                <w:i w:val="0"/>
                <w:sz w:val="16"/>
              </w:rPr>
              <w:t>Enable Banking</w:t>
            </w:r>
          </w:p>
        </w:tc>
        <w:tc>
          <w:tcPr>
            <w:tcW w:type="dxa" w:w="2469"/>
            <w:vAlign w:val="center"/>
          </w:tcPr>
          <w:p>
            <w:r>
              <w:rPr>
                <w:b w:val="0"/>
                <w:i w:val="0"/>
                <w:sz w:val="16"/>
              </w:rPr>
              <w:t>Live bank connection; not yet active, only from activation</w:t>
            </w:r>
          </w:p>
        </w:tc>
        <w:tc>
          <w:tcPr>
            <w:tcW w:type="dxa" w:w="2469"/>
            <w:vAlign w:val="center"/>
          </w:tcPr>
          <w:p>
            <w:r>
              <w:rPr>
                <w:b w:val="0"/>
                <w:i w:val="0"/>
                <w:sz w:val="16"/>
              </w:rPr>
              <w:t>Finland</w:t>
            </w:r>
          </w:p>
        </w:tc>
        <w:tc>
          <w:tcPr>
            <w:tcW w:type="dxa" w:w="2469"/>
            <w:vAlign w:val="center"/>
          </w:tcPr>
          <w:p>
            <w:r>
              <w:rPr>
                <w:b w:val="0"/>
                <w:i w:val="0"/>
                <w:sz w:val="16"/>
              </w:rPr>
              <w:t>EU</w:t>
            </w:r>
          </w:p>
        </w:tc>
      </w:tr>
      <w:tr>
        <w:tc>
          <w:tcPr>
            <w:tcW w:type="dxa" w:w="2469"/>
            <w:vAlign w:val="center"/>
          </w:tcPr>
          <w:p>
            <w:r>
              <w:rPr>
                <w:b w:val="0"/>
                <w:i w:val="0"/>
                <w:sz w:val="16"/>
              </w:rPr>
              <w:t>Twilio (US company)</w:t>
            </w:r>
          </w:p>
        </w:tc>
        <w:tc>
          <w:tcPr>
            <w:tcW w:type="dxa" w:w="2469"/>
            <w:vAlign w:val="center"/>
          </w:tcPr>
          <w:p>
            <w:r>
              <w:rPr>
                <w:b w:val="0"/>
                <w:i w:val="0"/>
                <w:sz w:val="16"/>
              </w:rPr>
              <w:t>Calls and SMS, phone numbers, call times and SMS content; not yet active, only from activation</w:t>
            </w:r>
          </w:p>
        </w:tc>
        <w:tc>
          <w:tcPr>
            <w:tcW w:type="dxa" w:w="2469"/>
            <w:vAlign w:val="center"/>
          </w:tcPr>
          <w:p>
            <w:r>
              <w:rPr>
                <w:b w:val="0"/>
                <w:i w:val="0"/>
                <w:sz w:val="16"/>
              </w:rPr>
              <w:t>Ireland; processing in the USA possible</w:t>
            </w:r>
          </w:p>
        </w:tc>
        <w:tc>
          <w:tcPr>
            <w:tcW w:type="dxa" w:w="2469"/>
            <w:vAlign w:val="center"/>
          </w:tcPr>
          <w:p>
            <w:r>
              <w:rPr>
                <w:b w:val="0"/>
                <w:i w:val="0"/>
                <w:sz w:val="16"/>
              </w:rPr>
              <w:t>DPA / EU Standard Contractual Clauses</w:t>
            </w:r>
          </w:p>
        </w:tc>
      </w:tr>
      <w:tr>
        <w:tc>
          <w:tcPr>
            <w:tcW w:type="dxa" w:w="2469"/>
            <w:vAlign w:val="center"/>
          </w:tcPr>
          <w:p>
            <w:r>
              <w:rPr>
                <w:b w:val="0"/>
                <w:i w:val="0"/>
                <w:sz w:val="16"/>
              </w:rPr>
              <w:t>Netlify, Inc.</w:t>
            </w:r>
          </w:p>
        </w:tc>
        <w:tc>
          <w:tcPr>
            <w:tcW w:type="dxa" w:w="2469"/>
            <w:vAlign w:val="center"/>
          </w:tcPr>
          <w:p>
            <w:r>
              <w:rPr>
                <w:b w:val="0"/>
                <w:i w:val="0"/>
                <w:sz w:val="16"/>
              </w:rPr>
              <w:t>Website hosting, delivery and server-side website statistics</w:t>
            </w:r>
          </w:p>
        </w:tc>
        <w:tc>
          <w:tcPr>
            <w:tcW w:type="dxa" w:w="2469"/>
            <w:vAlign w:val="center"/>
          </w:tcPr>
          <w:p>
            <w:r>
              <w:rPr>
                <w:b w:val="0"/>
                <w:i w:val="0"/>
                <w:sz w:val="16"/>
              </w:rPr>
              <w:t>USA / global</w:t>
            </w:r>
          </w:p>
        </w:tc>
        <w:tc>
          <w:tcPr>
            <w:tcW w:type="dxa" w:w="2469"/>
            <w:vAlign w:val="center"/>
          </w:tcPr>
          <w:p>
            <w:r>
              <w:rPr>
                <w:b w:val="0"/>
                <w:i w:val="0"/>
                <w:sz w:val="16"/>
              </w:rPr>
              <w:t>DPF or SCCs; see section 13</w:t>
            </w:r>
          </w:p>
        </w:tc>
      </w:tr>
      <w:tr>
        <w:tc>
          <w:tcPr>
            <w:tcW w:type="dxa" w:w="2469"/>
            <w:vAlign w:val="center"/>
          </w:tcPr>
          <w:p>
            <w:r>
              <w:rPr>
                <w:b w:val="0"/>
                <w:i w:val="0"/>
                <w:sz w:val="16"/>
              </w:rPr>
              <w:t>GoDaddy</w:t>
            </w:r>
          </w:p>
        </w:tc>
        <w:tc>
          <w:tcPr>
            <w:tcW w:type="dxa" w:w="2469"/>
            <w:vAlign w:val="center"/>
          </w:tcPr>
          <w:p>
            <w:r>
              <w:rPr>
                <w:b w:val="0"/>
                <w:i w:val="0"/>
                <w:sz w:val="16"/>
              </w:rPr>
              <w:t>Domain registration and management (not website hosting)</w:t>
            </w:r>
          </w:p>
        </w:tc>
        <w:tc>
          <w:tcPr>
            <w:tcW w:type="dxa" w:w="2469"/>
            <w:vAlign w:val="center"/>
          </w:tcPr>
          <w:p>
            <w:r>
              <w:rPr>
                <w:b w:val="0"/>
                <w:i w:val="0"/>
                <w:sz w:val="16"/>
              </w:rPr>
              <w:t>Domain provider</w:t>
            </w:r>
          </w:p>
        </w:tc>
        <w:tc>
          <w:tcPr>
            <w:tcW w:type="dxa" w:w="2469"/>
            <w:vAlign w:val="center"/>
          </w:tcPr>
          <w:p>
            <w:r>
              <w:rPr>
                <w:b w:val="0"/>
                <w:i w:val="0"/>
                <w:sz w:val="16"/>
              </w:rPr>
              <w:t>see section 13</w:t>
            </w:r>
          </w:p>
        </w:tc>
      </w:tr>
    </w:tbl>
    <w:p/>
    <w:p>
      <w:r>
        <w:rPr>
          <w:b w:val="0"/>
          <w:i w:val="0"/>
        </w:rPr>
        <w:t>The Contractor informs client businesses in advance of any changes to its sub-processors.</w:t>
      </w:r>
    </w:p>
    <w:p>
      <w:r>
        <w:rPr>
          <w:b w:val="0"/>
          <w:i w:val="0"/>
        </w:rPr>
        <w:t>Additional payment providers used only after activation: Stripe Payments Europe Ltd. (Ireland) and Adyen N.V. (Netherlands) for hosted checkout pages. According to the supplied documentation, Necesso stores transaction statuses, amounts, fees and payouts, not payment-card details.</w:t>
      </w:r>
    </w:p>
    <w:p>
      <w:pPr>
        <w:pStyle w:val="Heading1"/>
      </w:pPr>
      <w:r>
        <w:rPr>
          <w:b w:val="0"/>
          <w:i w:val="0"/>
        </w:rPr>
        <w:t>13. Organisational measures</w:t>
      </w:r>
    </w:p>
    <w:p>
      <w:r>
        <w:rPr>
          <w:b w:val="0"/>
          <w:i w:val="0"/>
        </w:rPr>
        <w:t>The supplied annex documents permission checks, automated security tests, integrity verification, monitoring, dependency scans and restoration tests. It also describes an incident-response plan that has not yet been exercised. A comprehensive written security policy and risk register, an independent documented penetration test and an independent certification remain unverified. No 24/7 on-call commitment, separate standby server or guaranteed recovery time has been documented.</w:t>
      </w:r>
    </w:p>
    <w:p>
      <w:pPr>
        <w:pStyle w:val="Heading1"/>
      </w:pPr>
      <w:r>
        <w:rPr>
          <w:b w:val="0"/>
          <w:i w:val="0"/>
        </w:rPr>
        <w:t>14. Scope and limitations of this statement</w:t>
      </w:r>
    </w:p>
    <w:p>
      <w:r>
        <w:rPr>
          <w:b w:val="0"/>
          <w:i w:val="0"/>
        </w:rPr>
        <w:t>Underlying technical description dated 29 October 2026. This page describes the published technical and organisational measures. It is not an independent penetration-test attestation or security certification. The documented historic offsite backups do not have a fixed deletion deadline; no guaranteed recovery time or 24/7 on-call service is promised. Information about the applicable contractual data-protection safeguards and customer-specific DPA is available at office@necesso.ai.</w:t>
      </w:r>
    </w:p>
    <w:p>
      <w:r>
        <w:rPr>
          <w:b w:val="0"/>
          <w:i w:val="0"/>
        </w:rPr>
        <w:t>Back to top ↑</w:t>
      </w:r>
    </w:p>
    <w:p>
      <w:pPr>
        <w:pStyle w:val="Title"/>
        <w:pageBreakBefore/>
      </w:pPr>
      <w:r>
        <w:t>General Terms and Conditions</w:t>
      </w:r>
    </w:p>
    <w:p>
      <w:r>
        <w:rPr>
          <w:b/>
          <w:color w:val="426E44"/>
          <w:sz w:val="16"/>
        </w:rPr>
        <w:t>ENGLISH</w:t>
      </w:r>
    </w:p>
    <w:p>
      <w:pPr>
        <w:pStyle w:val="Heading1"/>
      </w:pPr>
      <w:r>
        <w:rPr>
          <w:b w:val="0"/>
          <w:i w:val="0"/>
        </w:rPr>
        <w:t>1. Scope and conclusion of contract</w:t>
      </w:r>
    </w:p>
    <w:p>
      <w:r>
        <w:rPr>
          <w:b/>
          <w:i w:val="0"/>
        </w:rPr>
        <w:t>1.1</w:t>
      </w:r>
      <w:r>
        <w:rPr>
          <w:b w:val="0"/>
          <w:i w:val="0"/>
        </w:rPr>
        <w:t xml:space="preserve"> These General Terms and Conditions (“Terms”) apply to all contracts between CONCEPTS Gabriela Prett-Preza KG, Illekgasse 8/16, 1150 Vienna, Austria, FN 462437f (“Contractor”), and its customers (“Client”) concerning the Necesso platform and related services. They also apply to future services, even if not referred to again.</w:t>
      </w:r>
    </w:p>
    <w:p>
      <w:r>
        <w:rPr>
          <w:b/>
          <w:i w:val="0"/>
        </w:rPr>
        <w:t>1.2</w:t>
      </w:r>
      <w:r>
        <w:rPr>
          <w:b w:val="0"/>
          <w:i w:val="0"/>
        </w:rPr>
        <w:t xml:space="preserve"> These Terms apply exclusively to businesses within the meaning of Sec. 1 of the Austrian Consumer Protection Act (KSchG). No contracts are concluded with consumers.</w:t>
      </w:r>
    </w:p>
    <w:p>
      <w:r>
        <w:rPr>
          <w:b/>
          <w:i w:val="0"/>
        </w:rPr>
        <w:t>1.3</w:t>
      </w:r>
      <w:r>
        <w:rPr>
          <w:b w:val="0"/>
          <w:i w:val="0"/>
        </w:rPr>
        <w:t xml:space="preserve"> The Client’s general terms and conditions do not apply, even if the Contractor does not expressly object to them.</w:t>
      </w:r>
    </w:p>
    <w:p>
      <w:r>
        <w:rPr>
          <w:b/>
          <w:i w:val="0"/>
        </w:rPr>
        <w:t>1.4</w:t>
      </w:r>
      <w:r>
        <w:rPr>
          <w:b w:val="0"/>
          <w:i w:val="0"/>
        </w:rPr>
        <w:t xml:space="preserve"> The Contractor’s offers are non-binding. A contract is concluded by the Contractor’s written order confirmation, by completion of the online ordering process or by commencement of performance. The content of the offer or order confirmation is decisive.</w:t>
      </w:r>
    </w:p>
    <w:p>
      <w:pPr>
        <w:pStyle w:val="Heading1"/>
      </w:pPr>
      <w:r>
        <w:rPr>
          <w:b w:val="0"/>
          <w:i w:val="0"/>
        </w:rPr>
        <w:t>2. Definitions</w:t>
      </w:r>
    </w:p>
    <w:p>
      <w:pPr>
        <w:pStyle w:val="ListBullet"/>
      </w:pPr>
      <w:r>
        <w:rPr>
          <w:b/>
          <w:i w:val="0"/>
        </w:rPr>
        <w:t>Platform:</w:t>
      </w:r>
      <w:r>
        <w:rPr>
          <w:b w:val="0"/>
          <w:i w:val="0"/>
        </w:rPr>
        <w:t xml:space="preserve"> the Necesso software, provided by the Contractor as an online service (software as a service) via web and mobile apps.</w:t>
      </w:r>
    </w:p>
    <w:p>
      <w:pPr>
        <w:pStyle w:val="ListBullet"/>
      </w:pPr>
      <w:r>
        <w:rPr>
          <w:b/>
          <w:i w:val="0"/>
        </w:rPr>
        <w:t>Users:</w:t>
      </w:r>
      <w:r>
        <w:rPr>
          <w:b w:val="0"/>
          <w:i w:val="0"/>
        </w:rPr>
        <w:t xml:space="preserve"> natural persons authorised by the Client to use the Platform.</w:t>
      </w:r>
    </w:p>
    <w:p>
      <w:pPr>
        <w:pStyle w:val="ListBullet"/>
      </w:pPr>
      <w:r>
        <w:rPr>
          <w:b/>
          <w:i w:val="0"/>
        </w:rPr>
        <w:t>Client Data:</w:t>
      </w:r>
      <w:r>
        <w:rPr>
          <w:b w:val="0"/>
          <w:i w:val="0"/>
        </w:rPr>
        <w:t xml:space="preserve"> all data that the Client or its Users enter into the Platform or that is generated there for the Client, including data of its contacts.</w:t>
      </w:r>
    </w:p>
    <w:p>
      <w:pPr>
        <w:pStyle w:val="ListBullet"/>
      </w:pPr>
      <w:r>
        <w:rPr>
          <w:b/>
          <w:i w:val="0"/>
        </w:rPr>
        <w:t>Individual Services:</w:t>
      </w:r>
      <w:r>
        <w:rPr>
          <w:b w:val="0"/>
          <w:i w:val="0"/>
        </w:rPr>
        <w:t xml:space="preserve"> services tailored to the Client, such as design, customisation, programming, setup, training and consulting.</w:t>
      </w:r>
    </w:p>
    <w:p>
      <w:pPr>
        <w:pStyle w:val="Heading1"/>
      </w:pPr>
      <w:r>
        <w:rPr>
          <w:b w:val="0"/>
          <w:i w:val="0"/>
        </w:rPr>
        <w:t>3. Services</w:t>
      </w:r>
    </w:p>
    <w:p>
      <w:r>
        <w:rPr>
          <w:b/>
          <w:i w:val="0"/>
        </w:rPr>
        <w:t>3.1</w:t>
      </w:r>
      <w:r>
        <w:rPr>
          <w:b w:val="0"/>
          <w:i w:val="0"/>
        </w:rPr>
        <w:t xml:space="preserve"> The Contractor provides the Client with the Platform in the scope of the selected package for the term of the contract. The scope of services is set out in the offer and the current service description.</w:t>
      </w:r>
    </w:p>
    <w:p>
      <w:r>
        <w:rPr>
          <w:b/>
          <w:i w:val="0"/>
        </w:rPr>
        <w:t>3.2</w:t>
      </w:r>
      <w:r>
        <w:rPr>
          <w:b w:val="0"/>
          <w:i w:val="0"/>
        </w:rPr>
        <w:t xml:space="preserve"> The Platform includes in particular: management of enquiries, jobs and contacts, AI assistants (clause 7), WhatsApp integration, call recording and transcription (clause 8) and bank connection (clause 9), to the extent included in the package.</w:t>
      </w:r>
    </w:p>
    <w:p>
      <w:r>
        <w:rPr>
          <w:b/>
          <w:i w:val="0"/>
        </w:rPr>
        <w:t>3.3</w:t>
      </w:r>
      <w:r>
        <w:rPr>
          <w:b w:val="0"/>
          <w:i w:val="0"/>
        </w:rPr>
        <w:t xml:space="preserve"> The Contractor continuously develops the Platform and may change it, provided that the agreed scope of services is not materially reduced. It announces material changes at least 30 days in advance.</w:t>
      </w:r>
    </w:p>
    <w:p>
      <w:r>
        <w:rPr>
          <w:b/>
          <w:i w:val="0"/>
        </w:rPr>
        <w:t>3.4</w:t>
      </w:r>
      <w:r>
        <w:rPr>
          <w:b w:val="0"/>
          <w:i w:val="0"/>
        </w:rPr>
        <w:t xml:space="preserve"> Individual Services are only provided if separately agreed. Clause 11 applies.</w:t>
      </w:r>
    </w:p>
    <w:p>
      <w:r>
        <w:rPr>
          <w:b/>
          <w:i w:val="0"/>
        </w:rPr>
        <w:t>3.5</w:t>
      </w:r>
      <w:r>
        <w:rPr>
          <w:b w:val="0"/>
          <w:i w:val="0"/>
        </w:rPr>
        <w:t xml:space="preserve"> Accessible design within the meaning of the Austrian BGStG, WZG or BaFG is only owed if expressly agreed.</w:t>
      </w:r>
    </w:p>
    <w:p>
      <w:r>
        <w:rPr>
          <w:b/>
          <w:i w:val="0"/>
        </w:rPr>
        <w:t>3.6</w:t>
      </w:r>
      <w:r>
        <w:rPr>
          <w:b w:val="0"/>
          <w:i w:val="0"/>
        </w:rPr>
        <w:t xml:space="preserve"> The Contractor may use third parties (subcontractors and sub-processors) to provide its services. The data processing agreement (clause 6) applies to sub-processors.</w:t>
      </w:r>
    </w:p>
    <w:p>
      <w:r>
        <w:rPr>
          <w:b/>
          <w:i w:val="0"/>
        </w:rPr>
        <w:t xml:space="preserve">Optional integrations: </w:t>
      </w:r>
      <w:r>
        <w:rPr>
          <w:b w:val="0"/>
          <w:i w:val="0"/>
        </w:rPr>
        <w:t>A live bank connection through Enable Banking and calls/SMS through Twilio apply only after separate activation. Bank reconciliation using an imported statement file is separate. Payment providers (Stripe/Adyen) and accounting or wholesaler interfaces are not described as active without confirmation.</w:t>
      </w:r>
    </w:p>
    <w:p>
      <w:pPr>
        <w:pStyle w:val="Heading1"/>
      </w:pPr>
      <w:r>
        <w:rPr>
          <w:b w:val="0"/>
          <w:i w:val="0"/>
        </w:rPr>
        <w:t>4. Availability, maintenance and support</w:t>
      </w:r>
    </w:p>
    <w:p>
      <w:r>
        <w:rPr>
          <w:b/>
          <w:i w:val="0"/>
        </w:rPr>
        <w:t>4.1</w:t>
      </w:r>
      <w:r>
        <w:rPr>
          <w:b w:val="0"/>
          <w:i w:val="0"/>
        </w:rPr>
        <w:t xml:space="preserve"> The Contractor endeavours to keep the Platform available with as few interruptions as possible. A specific level of availability is only owed if expressly agreed in the offer or in a service level agreement (SLA).</w:t>
      </w:r>
    </w:p>
    <w:p>
      <w:r>
        <w:rPr>
          <w:b/>
          <w:i w:val="0"/>
        </w:rPr>
        <w:t>4.2</w:t>
      </w:r>
      <w:r>
        <w:rPr>
          <w:b w:val="0"/>
          <w:i w:val="0"/>
        </w:rPr>
        <w:t xml:space="preserve"> The Contractor carries out maintenance outside normal business hours where possible and announces planned interruptions in good time.</w:t>
      </w:r>
    </w:p>
    <w:p>
      <w:r>
        <w:rPr>
          <w:b/>
          <w:i w:val="0"/>
        </w:rPr>
        <w:t>4.3</w:t>
      </w:r>
      <w:r>
        <w:rPr>
          <w:b w:val="0"/>
          <w:i w:val="0"/>
        </w:rPr>
        <w:t xml:space="preserve"> The Contractor is not responsible for disruptions of the Client’s internet connection, of telecommunications networks or of third-party services, in particular Meta (WhatsApp), banks and account information services.</w:t>
      </w:r>
    </w:p>
    <w:p>
      <w:r>
        <w:rPr>
          <w:b w:val="0"/>
          <w:i w:val="0"/>
        </w:rPr>
        <w:t xml:space="preserve">4.4 Support is provided by e-mail to </w:t>
      </w:r>
      <w:r>
        <w:rPr>
          <w:b w:val="0"/>
          <w:i w:val="0"/>
        </w:rPr>
        <w:t>office@necesso.ai</w:t>
      </w:r>
      <w:r>
        <w:rPr>
          <w:b w:val="0"/>
          <w:i w:val="0"/>
        </w:rPr>
        <w:t xml:space="preserve"> during the Contractor’s business hours. The Contractor responds within a reasonable time. Further response times only apply if agreed.</w:t>
      </w:r>
    </w:p>
    <w:p>
      <w:pPr>
        <w:pStyle w:val="Heading1"/>
      </w:pPr>
      <w:r>
        <w:rPr>
          <w:b w:val="0"/>
          <w:i w:val="0"/>
        </w:rPr>
        <w:t>5. Client obligations</w:t>
      </w:r>
    </w:p>
    <w:p>
      <w:r>
        <w:rPr>
          <w:b/>
          <w:i w:val="0"/>
        </w:rPr>
        <w:t>5.1</w:t>
      </w:r>
      <w:r>
        <w:rPr>
          <w:b w:val="0"/>
          <w:i w:val="0"/>
        </w:rPr>
        <w:t xml:space="preserve"> The Client keeps login credentials secret, protects them against unauthorised access and informs the Contractor immediately if misuse is suspected.</w:t>
      </w:r>
    </w:p>
    <w:p>
      <w:r>
        <w:rPr>
          <w:b/>
          <w:i w:val="0"/>
        </w:rPr>
        <w:t>5.2</w:t>
      </w:r>
      <w:r>
        <w:rPr>
          <w:b w:val="0"/>
          <w:i w:val="0"/>
        </w:rPr>
        <w:t xml:space="preserve"> The Client is responsible for Client Data and its lawfulness. It does not store content that violates laws, official orders or third-party rights, and checks uploaded files for malware using state-of-the-art measures.</w:t>
      </w:r>
    </w:p>
    <w:p>
      <w:r>
        <w:rPr>
          <w:b/>
          <w:i w:val="0"/>
        </w:rPr>
        <w:t>5.3</w:t>
      </w:r>
      <w:r>
        <w:rPr>
          <w:b w:val="0"/>
          <w:i w:val="0"/>
        </w:rPr>
        <w:t xml:space="preserve"> The Client informs its contacts about the processing of their data in the Platform, to the extent it is obliged to do so as controller.</w:t>
      </w:r>
    </w:p>
    <w:p>
      <w:r>
        <w:rPr>
          <w:b/>
          <w:i w:val="0"/>
        </w:rPr>
        <w:t>5.4</w:t>
      </w:r>
      <w:r>
        <w:rPr>
          <w:b w:val="0"/>
          <w:i w:val="0"/>
        </w:rPr>
        <w:t xml:space="preserve"> The Client cooperates in the provision of services, provides necessary information in full and in good time, and names a contact person. Delays and additional costs resulting from a lack of cooperation are borne by the Client.</w:t>
      </w:r>
    </w:p>
    <w:p>
      <w:r>
        <w:rPr>
          <w:b/>
          <w:i w:val="0"/>
        </w:rPr>
        <w:t>5.5</w:t>
      </w:r>
      <w:r>
        <w:rPr>
          <w:b w:val="0"/>
          <w:i w:val="0"/>
        </w:rPr>
        <w:t xml:space="preserve"> The Client uses the Platform only for its own business purposes. It may not make the Platform available to third parties, use it to send unsolicited advertising or attempt to circumvent security mechanisms.</w:t>
      </w:r>
    </w:p>
    <w:p>
      <w:pPr>
        <w:pStyle w:val="Heading1"/>
      </w:pPr>
      <w:r>
        <w:rPr>
          <w:b w:val="0"/>
          <w:i w:val="0"/>
        </w:rPr>
        <w:t>6. Data protection and data processing on behalf</w:t>
      </w:r>
    </w:p>
    <w:p>
      <w:r>
        <w:rPr>
          <w:b/>
          <w:i w:val="0"/>
        </w:rPr>
        <w:t>6.1</w:t>
      </w:r>
      <w:r>
        <w:rPr>
          <w:b w:val="0"/>
          <w:i w:val="0"/>
        </w:rPr>
        <w:t xml:space="preserve"> Where the Contractor processes personal data on behalf of the Client, it acts as a processor within the meaning of Art. 28 GDPR. The parties conclude a data processing agreement (DPA), which forms an integral part of this contract. The current list of sub-processors is set out in the DPA.</w:t>
      </w:r>
    </w:p>
    <w:p>
      <w:r>
        <w:rPr>
          <w:b/>
          <w:i w:val="0"/>
        </w:rPr>
        <w:t>6.2</w:t>
      </w:r>
      <w:r>
        <w:rPr>
          <w:b w:val="0"/>
          <w:i w:val="0"/>
        </w:rPr>
        <w:t xml:space="preserve"> For data for which the Contractor itself is the controller, its privacy policy at </w:t>
      </w:r>
      <w:r>
        <w:rPr>
          <w:b w:val="0"/>
          <w:i w:val="0"/>
        </w:rPr>
        <w:t>necesso.ai/en/datenschutz</w:t>
      </w:r>
      <w:r>
        <w:rPr>
          <w:b w:val="0"/>
          <w:i w:val="0"/>
        </w:rPr>
        <w:t xml:space="preserve"> applies.</w:t>
      </w:r>
    </w:p>
    <w:p>
      <w:r>
        <w:rPr>
          <w:b/>
          <w:i w:val="0"/>
        </w:rPr>
        <w:t>6.3 Data location:</w:t>
      </w:r>
      <w:r>
        <w:rPr>
          <w:b w:val="0"/>
          <w:i w:val="0"/>
        </w:rPr>
        <w:t xml:space="preserve"> Platform data is stored on servers of Hetzner Online GmbH in Germany. Nightly backups remain for 14 days on the server; historical copies in a separate Hetzner Storage Box and at Scaleway in Paris are currently kept without an expiry date. Under the technical documentation, Necesso itself encrypts the backup copies using AES-256 before they leave its server, with encryption keys held separately. Client businesses are logically segregated. Operator-managed full-disk encryption of primary servers and a defined retention limit for historic offsite backups are not documented. AI processing is governed by clause 7 and the privacy policy.</w:t>
      </w:r>
    </w:p>
    <w:p>
      <w:r>
        <w:rPr>
          <w:b w:val="0"/>
          <w:i w:val="0"/>
        </w:rPr>
        <w:t>6.4 Transfers outside the EEA: For transfers to Anthropic outside the EEA, Client Data is pseudonymised using placeholders before transmission. Per-request placeholder mappings remain in the EU server’s memory while a request runs. Transfers are subject to the applicable mechanisms under Art. 44 et seq. GDPR and the relevant provider agreements. When calling or SMS features through Twilio are activated, data may also be processed in the USA under Twilio’s contractual conditions and Standard Contractual Clauses. Meta’s conditions apply to the WhatsApp integration. Mistral processes certain personal data via its EU API endpoint.</w:t>
      </w:r>
    </w:p>
    <w:p>
      <w:r>
        <w:rPr>
          <w:b/>
          <w:i w:val="0"/>
        </w:rPr>
        <w:t>6.5</w:t>
      </w:r>
      <w:r>
        <w:rPr>
          <w:b w:val="0"/>
          <w:i w:val="0"/>
        </w:rPr>
        <w:t xml:space="preserve"> The technical and organisational measures are described in the “Data security” document and form part of the DPA.</w:t>
      </w:r>
    </w:p>
    <w:p>
      <w:r>
        <w:rPr>
          <w:b/>
          <w:i w:val="0"/>
        </w:rPr>
        <w:t>6.6</w:t>
      </w:r>
      <w:r>
        <w:rPr>
          <w:b w:val="0"/>
          <w:i w:val="0"/>
        </w:rPr>
        <w:t xml:space="preserve"> The Contractor obliges its employees to maintain data secrecy under Sec. 6 of the Austrian Data Protection Act (DSG).</w:t>
      </w:r>
    </w:p>
    <w:p>
      <w:pPr>
        <w:pStyle w:val="Heading1"/>
      </w:pPr>
      <w:r>
        <w:rPr>
          <w:b w:val="0"/>
          <w:i w:val="0"/>
        </w:rPr>
        <w:t>7. AI features</w:t>
      </w:r>
    </w:p>
    <w:p>
      <w:r>
        <w:rPr>
          <w:b w:val="0"/>
          <w:i w:val="0"/>
        </w:rPr>
        <w:t>7.1 The Platform uses Mistral as a main AI model, including with personal data through its EU API endpoint. Anthropic receives pseudonymised content after recognised direct identifiers have been replaced with placeholders. Data are hosted at Hetzner in Germany, and other EU service providers may receive personal data for the purposes described in the privacy policy. Transfers to Anthropic are subject to the applicable safeguards under Art. 44 et seq. GDPR and provider agreements. Optional Twilio services may involve processing in the USA after activation; see clause 6.4. Pseudonymisation is not anonymisation.</w:t>
      </w:r>
    </w:p>
    <w:p>
      <w:r>
        <w:rPr>
          <w:b/>
          <w:i w:val="0"/>
        </w:rPr>
        <w:t>7.2</w:t>
      </w:r>
      <w:r>
        <w:rPr>
          <w:b w:val="0"/>
          <w:i w:val="0"/>
        </w:rPr>
        <w:t xml:space="preserve"> Results of these features, such as summaries, draft replies, quotes and payment matches, are suggestions. The Client reviews them before use. The Contractor does not warrant their accuracy or completeness. Decisions with legal effect are always made by a person.</w:t>
      </w:r>
    </w:p>
    <w:p>
      <w:r>
        <w:rPr>
          <w:b/>
          <w:i w:val="0"/>
        </w:rPr>
        <w:t>7.3</w:t>
      </w:r>
      <w:r>
        <w:rPr>
          <w:b w:val="0"/>
          <w:i w:val="0"/>
        </w:rPr>
        <w:t xml:space="preserve"> Processing follows the privacy policy and DPA; transfers outside the EEA are permitted only under the conditions in clause 6.4. AI providers may not use Client Data to train their models. Pseudonymisation is not complete anonymisation.</w:t>
      </w:r>
    </w:p>
    <w:p>
      <w:r>
        <w:rPr>
          <w:b w:val="0"/>
          <w:i w:val="0"/>
        </w:rPr>
        <w:t>Technical clarification (29 October 2026): The assistant is currently configured to use Mistral’s EU endpoint; provider selection is a server-side setting. Requests from EU businesses to Anthropic use the privacy gateway, which minimises data and inserts request-specific placeholders. Failed or identified incomplete checks prevent transmission, but unrecognised personal details may still pass through. Transfers require a genuinely applicable transfer mechanism under Art. 44 et seq. GDPR. These technical details supplement the privacy policy and the applicable DPA.</w:t>
      </w:r>
    </w:p>
    <w:p>
      <w:pPr>
        <w:pStyle w:val="Heading1"/>
      </w:pPr>
      <w:r>
        <w:rPr>
          <w:b w:val="0"/>
          <w:i w:val="0"/>
        </w:rPr>
        <w:t>8. Call recording, transcription and messaging</w:t>
      </w:r>
    </w:p>
    <w:p>
      <w:r>
        <w:rPr>
          <w:b/>
          <w:i w:val="0"/>
        </w:rPr>
        <w:t>8.1</w:t>
      </w:r>
      <w:r>
        <w:rPr>
          <w:b w:val="0"/>
          <w:i w:val="0"/>
        </w:rPr>
        <w:t xml:space="preserve"> When telephony is activated, the documented technical workflow currently plays a recording/transcription announcement at the start of a call and then records it. The announcement is not a consent-confirmation mechanism. The Client must ensure that recording and transcription are lawful and that any legally required consent is obtained before using the function. The parties must check the activation workflow and lawful basis prior to launch.</w:t>
      </w:r>
    </w:p>
    <w:p>
      <w:r>
        <w:rPr>
          <w:b/>
          <w:i w:val="0"/>
        </w:rPr>
        <w:t>8.2</w:t>
      </w:r>
      <w:r>
        <w:rPr>
          <w:b w:val="0"/>
          <w:i w:val="0"/>
        </w:rPr>
        <w:t xml:space="preserve"> Telephone calls and WhatsApp voice notes are transcribed using Whisper on our own Hetzner servers. Dictation in German, English, Hungarian and Turkish is sent to Voxtral through Mistral’s EU endpoint. Dictation in Romanian and other languages, or if Mistral is unavailable, is processed by Whisper at Hetzner. After transcription the text is sent to Mistral EU for AI correction. Text-to-speech output uses Piper on Hetzner servers.</w:t>
      </w:r>
    </w:p>
    <w:p>
      <w:r>
        <w:rPr>
          <w:b/>
          <w:i w:val="0"/>
        </w:rPr>
        <w:t>8.3</w:t>
      </w:r>
      <w:r>
        <w:rPr>
          <w:b w:val="0"/>
          <w:i w:val="0"/>
        </w:rPr>
        <w:t xml:space="preserve"> The WhatsApp integration runs directly via Meta’s WhatsApp Business Platform. The Client complies with Meta’s terms and applicable telecommunications law.</w:t>
      </w:r>
    </w:p>
    <w:p>
      <w:r>
        <w:rPr>
          <w:b/>
          <w:i w:val="0"/>
        </w:rPr>
        <w:t>8.4</w:t>
      </w:r>
      <w:r>
        <w:rPr>
          <w:b w:val="0"/>
          <w:i w:val="0"/>
        </w:rPr>
        <w:t xml:space="preserve"> Job audio and WhatsApp voice notes are deleted from active storage seven days after a transcript exists; call recordings 14 days after a transcript exists. If transcription fails, the automated deadline may not start. Transcripts are retained with the related business records, subject to agreed and statutory retention requirements; a general 90-day automatic deletion period is not represented by the supplied technical documentation. Deleted audio may remain in historic backups under the separate retention arrangements described in the Privacy Policy and security measures.</w:t>
      </w:r>
    </w:p>
    <w:p>
      <w:pPr>
        <w:pStyle w:val="Heading1"/>
      </w:pPr>
      <w:r>
        <w:rPr>
          <w:b w:val="0"/>
          <w:i w:val="0"/>
        </w:rPr>
        <w:t>9. Bank connection</w:t>
      </w:r>
    </w:p>
    <w:p>
      <w:r>
        <w:rPr>
          <w:b/>
          <w:i w:val="0"/>
        </w:rPr>
        <w:t>9.1</w:t>
      </w:r>
      <w:r>
        <w:rPr>
          <w:b w:val="0"/>
          <w:i w:val="0"/>
        </w:rPr>
        <w:t xml:space="preserve"> Bank transactions may be reconciled by importing account statements (CSV or file). A live bank connection via Enable Banking (Finland) applies only after separate activation and requires the Client’s express consent.</w:t>
      </w:r>
    </w:p>
    <w:p>
      <w:r>
        <w:rPr>
          <w:b/>
          <w:i w:val="0"/>
        </w:rPr>
        <w:t>9.2</w:t>
      </w:r>
      <w:r>
        <w:rPr>
          <w:b w:val="0"/>
          <w:i w:val="0"/>
        </w:rPr>
        <w:t xml:space="preserve"> Online banking credentials are only transmitted to the bank or the account information service and are not stored by the Contractor.</w:t>
      </w:r>
    </w:p>
    <w:p>
      <w:r>
        <w:rPr>
          <w:b/>
          <w:i w:val="0"/>
        </w:rPr>
        <w:t>9.3</w:t>
      </w:r>
      <w:r>
        <w:rPr>
          <w:b w:val="0"/>
          <w:i w:val="0"/>
        </w:rPr>
        <w:t xml:space="preserve"> The Contractor is not liable for the unavailability or changes of bank interfaces or account information services.</w:t>
      </w:r>
    </w:p>
    <w:p>
      <w:pPr>
        <w:pStyle w:val="Heading1"/>
      </w:pPr>
      <w:r>
        <w:rPr>
          <w:b w:val="0"/>
          <w:i w:val="0"/>
        </w:rPr>
        <w:t>10. Rights of use</w:t>
      </w:r>
    </w:p>
    <w:p>
      <w:r>
        <w:rPr>
          <w:b/>
          <w:i w:val="0"/>
        </w:rPr>
        <w:t>10.1</w:t>
      </w:r>
      <w:r>
        <w:rPr>
          <w:b w:val="0"/>
          <w:i w:val="0"/>
        </w:rPr>
        <w:t xml:space="preserve"> For the term of the contract, the Client receives a non-exclusive, non-transferable and non-sublicensable right to use the Platform within the scope of the purchased user licences for its own business purposes.</w:t>
      </w:r>
    </w:p>
    <w:p>
      <w:r>
        <w:rPr>
          <w:b/>
          <w:i w:val="0"/>
        </w:rPr>
        <w:t>10.2</w:t>
      </w:r>
      <w:r>
        <w:rPr>
          <w:b w:val="0"/>
          <w:i w:val="0"/>
        </w:rPr>
        <w:t xml:space="preserve"> All rights to the Platform, the documentation and work results remain with the Contractor or its licensors, unless otherwise agreed. The Client’s cooperation does not establish co-authorship.</w:t>
      </w:r>
    </w:p>
    <w:p>
      <w:r>
        <w:rPr>
          <w:b/>
          <w:i w:val="0"/>
        </w:rPr>
        <w:t>10.3</w:t>
      </w:r>
      <w:r>
        <w:rPr>
          <w:b w:val="0"/>
          <w:i w:val="0"/>
        </w:rPr>
        <w:t xml:space="preserve"> For Individual Services, the Client receives, after full payment, a non-exclusive, perpetual right of use for its own internal purposes. Exclusive rights and handover of source code require a separate agreement.</w:t>
      </w:r>
    </w:p>
    <w:p>
      <w:r>
        <w:rPr>
          <w:b/>
          <w:i w:val="0"/>
        </w:rPr>
        <w:t>10.4</w:t>
      </w:r>
      <w:r>
        <w:rPr>
          <w:b w:val="0"/>
          <w:i w:val="0"/>
        </w:rPr>
        <w:t xml:space="preserve"> The licence terms of third-party software take precedence. The Client’s rights under Sec. 40d and 40e of the Austrian Copyright Act (UrhG) remain unaffected.</w:t>
      </w:r>
    </w:p>
    <w:p>
      <w:r>
        <w:rPr>
          <w:b/>
          <w:i w:val="0"/>
        </w:rPr>
        <w:t>10.5</w:t>
      </w:r>
      <w:r>
        <w:rPr>
          <w:b w:val="0"/>
          <w:i w:val="0"/>
        </w:rPr>
        <w:t xml:space="preserve"> Client Data remains the property of the Client. The Contractor uses it only to perform the contract.</w:t>
      </w:r>
    </w:p>
    <w:p>
      <w:pPr>
        <w:pStyle w:val="Heading1"/>
      </w:pPr>
      <w:r>
        <w:rPr>
          <w:b w:val="0"/>
          <w:i w:val="0"/>
        </w:rPr>
        <w:t>11. Individual Services and acceptance</w:t>
      </w:r>
    </w:p>
    <w:p>
      <w:r>
        <w:rPr>
          <w:b/>
          <w:i w:val="0"/>
        </w:rPr>
        <w:t>11.1</w:t>
      </w:r>
      <w:r>
        <w:rPr>
          <w:b w:val="0"/>
          <w:i w:val="0"/>
        </w:rPr>
        <w:t xml:space="preserve"> Individual Services are based on a written service description, which the Client checks for accuracy and completeness and approves. Later change requests may lead to new agreements on deadlines and prices.</w:t>
      </w:r>
    </w:p>
    <w:p>
      <w:r>
        <w:rPr>
          <w:b/>
          <w:i w:val="0"/>
        </w:rPr>
        <w:t>11.2</w:t>
      </w:r>
      <w:r>
        <w:rPr>
          <w:b w:val="0"/>
          <w:i w:val="0"/>
        </w:rPr>
        <w:t xml:space="preserve"> The Client accepts Individual Services within four weeks of delivery and confirms this in writing. If it lets this period expire without reporting material defects, or uses the service in live operation, the service is deemed accepted. Acceptance may not be refused because of minor defects.</w:t>
      </w:r>
    </w:p>
    <w:p>
      <w:r>
        <w:rPr>
          <w:b/>
          <w:i w:val="0"/>
        </w:rPr>
        <w:t>11.3</w:t>
      </w:r>
      <w:r>
        <w:rPr>
          <w:b w:val="0"/>
          <w:i w:val="0"/>
        </w:rPr>
        <w:t xml:space="preserve"> If it becomes apparent that the service cannot be performed as described for factual or legal reasons, the Contractor informs the Client without delay. If the Client does not amend the service description accordingly, the Contractor may withdraw from the contract; services provided until then are to be paid.</w:t>
      </w:r>
    </w:p>
    <w:p>
      <w:r>
        <w:rPr>
          <w:b/>
          <w:i w:val="0"/>
        </w:rPr>
        <w:t>11.4</w:t>
      </w:r>
      <w:r>
        <w:rPr>
          <w:b w:val="0"/>
          <w:i w:val="0"/>
        </w:rPr>
        <w:t xml:space="preserve"> The Client may only cancel Individual Services with the Contractor’s consent. In addition to services already provided, the Contractor may charge a cancellation fee of 30% of the order value not yet invoiced.</w:t>
      </w:r>
    </w:p>
    <w:p>
      <w:pPr>
        <w:pStyle w:val="Heading1"/>
      </w:pPr>
      <w:r>
        <w:rPr>
          <w:b w:val="0"/>
          <w:i w:val="0"/>
        </w:rPr>
        <w:t>12. Prices and payment</w:t>
      </w:r>
    </w:p>
    <w:p>
      <w:r>
        <w:rPr>
          <w:b/>
          <w:i w:val="0"/>
        </w:rPr>
        <w:t>12.1</w:t>
      </w:r>
      <w:r>
        <w:rPr>
          <w:b w:val="0"/>
          <w:i w:val="0"/>
        </w:rPr>
        <w:t xml:space="preserve"> All prices are in euros plus VAT.</w:t>
      </w:r>
    </w:p>
    <w:p>
      <w:r>
        <w:rPr>
          <w:b/>
          <w:i w:val="0"/>
        </w:rPr>
        <w:t>12.2</w:t>
      </w:r>
      <w:r>
        <w:rPr>
          <w:b w:val="0"/>
          <w:i w:val="0"/>
        </w:rPr>
        <w:t xml:space="preserve"> Subscription fees are invoiced in advance for the agreed billing period. Individual Services are charged by time and effort at the rates valid on the day of performance, unless a fixed price has been agreed. Travel time counts as working time; travel and accommodation costs are charged separately.</w:t>
      </w:r>
    </w:p>
    <w:p>
      <w:r>
        <w:rPr>
          <w:b/>
          <w:i w:val="0"/>
        </w:rPr>
        <w:t>12.3</w:t>
      </w:r>
      <w:r>
        <w:rPr>
          <w:b w:val="0"/>
          <w:i w:val="0"/>
        </w:rPr>
        <w:t xml:space="preserve"> Invoices are payable within 14 days of receipt without deduction. In the event of late payment, statutory default interest for business transactions applies. After a reminder, the Contractor may block access to the Platform until outstanding amounts are paid; Client Data is preserved during the block.</w:t>
      </w:r>
    </w:p>
    <w:p>
      <w:r>
        <w:rPr>
          <w:b/>
          <w:i w:val="0"/>
        </w:rPr>
        <w:t>12.4</w:t>
      </w:r>
      <w:r>
        <w:rPr>
          <w:b w:val="0"/>
          <w:i w:val="0"/>
        </w:rPr>
        <w:t xml:space="preserve"> The Client may only set off undisputed or legally established claims. A right of retention due to warranty claims is excluded.</w:t>
      </w:r>
    </w:p>
    <w:p>
      <w:r>
        <w:rPr>
          <w:b/>
          <w:i w:val="0"/>
        </w:rPr>
        <w:t>12.5</w:t>
      </w:r>
      <w:r>
        <w:rPr>
          <w:b w:val="0"/>
          <w:i w:val="0"/>
        </w:rPr>
        <w:t xml:space="preserve"> Recurring fees are index-linked to the collective agreement salary for employees in the field of services in automatic data processing and information technology, experience level special activities (ST2). If this salary changes, the Contractor may adjust the fees in the same proportion; it announces this at least one month in advance.</w:t>
      </w:r>
    </w:p>
    <w:p>
      <w:pPr>
        <w:pStyle w:val="Heading1"/>
      </w:pPr>
      <w:r>
        <w:rPr>
          <w:b w:val="0"/>
          <w:i w:val="0"/>
        </w:rPr>
        <w:t>13. Warranty</w:t>
      </w:r>
    </w:p>
    <w:p>
      <w:r>
        <w:rPr>
          <w:b/>
          <w:i w:val="0"/>
        </w:rPr>
        <w:t>13.1</w:t>
      </w:r>
      <w:r>
        <w:rPr>
          <w:b w:val="0"/>
          <w:i w:val="0"/>
        </w:rPr>
        <w:t xml:space="preserve"> The Contractor warrants that the Platform substantially conforms to the service description during the term of the contract. For Individual Services, the warranty period is six months from acceptance.</w:t>
      </w:r>
    </w:p>
    <w:p>
      <w:r>
        <w:rPr>
          <w:b/>
          <w:i w:val="0"/>
        </w:rPr>
        <w:t>13.2</w:t>
      </w:r>
      <w:r>
        <w:rPr>
          <w:b w:val="0"/>
          <w:i w:val="0"/>
        </w:rPr>
        <w:t xml:space="preserve"> Defects must be reported without delay, at the latest within the period under Sec. 377 of the Austrian Commercial Code (UGB), in writing or by e-mail with a comprehensible description. The Contractor remedies reported defects within a reasonable period; repair takes precedence over price reduction or termination.</w:t>
      </w:r>
    </w:p>
    <w:p>
      <w:r>
        <w:rPr>
          <w:b/>
          <w:i w:val="0"/>
        </w:rPr>
        <w:t>13.3</w:t>
      </w:r>
      <w:r>
        <w:rPr>
          <w:b w:val="0"/>
          <w:i w:val="0"/>
        </w:rPr>
        <w:t xml:space="preserve"> The presumption of defectiveness under Sec. 924 ABGB and the defence under Sec. 933(3) ABGB are excluded. Warranty claims expire in any case one month after the end of the warranty period.</w:t>
      </w:r>
    </w:p>
    <w:p>
      <w:r>
        <w:rPr>
          <w:b/>
          <w:i w:val="0"/>
        </w:rPr>
        <w:t>13.4</w:t>
      </w:r>
      <w:r>
        <w:rPr>
          <w:b w:val="0"/>
          <w:i w:val="0"/>
        </w:rPr>
        <w:t xml:space="preserve"> There is no warranty for defects resulting from changes by the Client or third parties, improper use, third-party services or a lack of cooperation by the Client.</w:t>
      </w:r>
    </w:p>
    <w:p>
      <w:r>
        <w:rPr>
          <w:b/>
          <w:i w:val="0"/>
        </w:rPr>
        <w:t>13.5</w:t>
      </w:r>
      <w:r>
        <w:rPr>
          <w:b w:val="0"/>
          <w:i w:val="0"/>
        </w:rPr>
        <w:t xml:space="preserve"> The update obligation under Sec. 7 of the Austrian Consumer Warranty Act (VGG) is excluded unless otherwise agreed. The Contractor provides updates to the Platform as part of its ongoing development.</w:t>
      </w:r>
    </w:p>
    <w:p>
      <w:pPr>
        <w:pStyle w:val="Heading1"/>
      </w:pPr>
      <w:r>
        <w:rPr>
          <w:b w:val="0"/>
          <w:i w:val="0"/>
        </w:rPr>
        <w:t>14. Liability</w:t>
      </w:r>
    </w:p>
    <w:p>
      <w:r>
        <w:rPr>
          <w:b/>
          <w:i w:val="0"/>
        </w:rPr>
        <w:t>14.1</w:t>
      </w:r>
      <w:r>
        <w:rPr>
          <w:b w:val="0"/>
          <w:i w:val="0"/>
        </w:rPr>
        <w:t xml:space="preserve"> The Contractor is only liable for damage caused intentionally or through gross negligence. This also applies to its vicarious agents. Liability for personal injury is unlimited.</w:t>
      </w:r>
    </w:p>
    <w:p>
      <w:r>
        <w:rPr>
          <w:b/>
          <w:i w:val="0"/>
        </w:rPr>
        <w:t>14.2</w:t>
      </w:r>
      <w:r>
        <w:rPr>
          <w:b w:val="0"/>
          <w:i w:val="0"/>
        </w:rPr>
        <w:t xml:space="preserve"> Liability for loss of profit, consequential damage, business interruption and third-party claims is excluded, except in cases of intent.</w:t>
      </w:r>
    </w:p>
    <w:p>
      <w:r>
        <w:rPr>
          <w:b/>
          <w:i w:val="0"/>
        </w:rPr>
        <w:t>14.3</w:t>
      </w:r>
      <w:r>
        <w:rPr>
          <w:b w:val="0"/>
          <w:i w:val="0"/>
        </w:rPr>
        <w:t xml:space="preserve"> For data loss, the Contractor is only liable for the cost of restoring data from existing backups, up to a maximum of 10% of the annual fee per damage event and no more than EUR 15,000.</w:t>
      </w:r>
    </w:p>
    <w:p>
      <w:r>
        <w:rPr>
          <w:b/>
          <w:i w:val="0"/>
        </w:rPr>
        <w:t>14.4</w:t>
      </w:r>
      <w:r>
        <w:rPr>
          <w:b w:val="0"/>
          <w:i w:val="0"/>
        </w:rPr>
        <w:t xml:space="preserve"> Claims for damages become time-barred in accordance with statutory provisions, but no later than one year after the damage and the party causing it become known.</w:t>
      </w:r>
    </w:p>
    <w:p>
      <w:r>
        <w:rPr>
          <w:b/>
          <w:i w:val="0"/>
        </w:rPr>
        <w:t>14.5</w:t>
      </w:r>
      <w:r>
        <w:rPr>
          <w:b w:val="0"/>
          <w:i w:val="0"/>
        </w:rPr>
        <w:t xml:space="preserve"> If the Contractor uses third parties and warranty or liability claims arise against them, it assigns these claims to the Client upon request.</w:t>
      </w:r>
    </w:p>
    <w:p>
      <w:pPr>
        <w:pStyle w:val="Heading1"/>
      </w:pPr>
      <w:r>
        <w:rPr>
          <w:b w:val="0"/>
          <w:i w:val="0"/>
        </w:rPr>
        <w:t>15. Term and termination</w:t>
      </w:r>
    </w:p>
    <w:p>
      <w:r>
        <w:rPr>
          <w:b/>
          <w:i w:val="0"/>
        </w:rPr>
        <w:t>15.1</w:t>
      </w:r>
      <w:r>
        <w:rPr>
          <w:b w:val="0"/>
          <w:i w:val="0"/>
        </w:rPr>
        <w:t xml:space="preserve"> Subscriptions run for the minimum term agreed in the offer and are then extended for an indefinite period. If nothing has been agreed, either party may terminate in writing with six months’ notice, at the earliest at the end of the minimum term.</w:t>
      </w:r>
    </w:p>
    <w:p>
      <w:r>
        <w:rPr>
          <w:b/>
          <w:i w:val="0"/>
        </w:rPr>
        <w:t>15.2</w:t>
      </w:r>
      <w:r>
        <w:rPr>
          <w:b w:val="0"/>
          <w:i w:val="0"/>
        </w:rPr>
        <w:t xml:space="preserve"> Either party may terminate without notice for good cause, in particular if the other party breaches material obligations despite a written warning or if performance is prevented by force majeure for more than six months.</w:t>
      </w:r>
    </w:p>
    <w:p>
      <w:r>
        <w:rPr>
          <w:b/>
          <w:i w:val="0"/>
        </w:rPr>
        <w:t>15.3</w:t>
      </w:r>
      <w:r>
        <w:rPr>
          <w:b w:val="0"/>
          <w:i w:val="0"/>
        </w:rPr>
        <w:t xml:space="preserve"> After the end of the contract, the Client may export its data in a common format within 30 days. Active Client Data is deleted according to the DPA and statutory retention obligations. Backups are subject to separate periods: nightly backups are kept 14 days on the server, while copies in the Hetzner Storage Box and at Scaleway in Paris have no set expiry. Deleting the client-specific key is not represented as a guarantee that all backups will become unreadable.</w:t>
      </w:r>
    </w:p>
    <w:p>
      <w:pPr>
        <w:pStyle w:val="Heading1"/>
      </w:pPr>
      <w:r>
        <w:rPr>
          <w:b w:val="0"/>
          <w:i w:val="0"/>
        </w:rPr>
        <w:t>16. Confidentiality</w:t>
      </w:r>
    </w:p>
    <w:p>
      <w:r>
        <w:rPr>
          <w:b/>
          <w:i w:val="0"/>
        </w:rPr>
        <w:t>16.1</w:t>
      </w:r>
      <w:r>
        <w:rPr>
          <w:b w:val="0"/>
          <w:i w:val="0"/>
        </w:rPr>
        <w:t xml:space="preserve"> Each party treats the other party’s trade secrets as confidential and does not disclose them to third parties. This does not apply to information that is generally known, was already known to the recipient without an obligation of confidentiality, was disclosed to it by a third party without an obligation of confidentiality, was demonstrably developed independently by it, or must be disclosed on the basis of an official or court decision.</w:t>
      </w:r>
    </w:p>
    <w:p>
      <w:r>
        <w:rPr>
          <w:b/>
          <w:i w:val="0"/>
        </w:rPr>
        <w:t>16.2</w:t>
      </w:r>
      <w:r>
        <w:rPr>
          <w:b w:val="0"/>
          <w:i w:val="0"/>
        </w:rPr>
        <w:t xml:space="preserve"> The Contractor’s subcontractors are not considered third parties if they are subject to an equivalent confidentiality obligation.</w:t>
      </w:r>
    </w:p>
    <w:p>
      <w:pPr>
        <w:pStyle w:val="Heading1"/>
      </w:pPr>
      <w:r>
        <w:rPr>
          <w:b w:val="0"/>
          <w:i w:val="0"/>
        </w:rPr>
        <w:t>17. Non-solicitation</w:t>
      </w:r>
    </w:p>
    <w:p>
      <w:r>
        <w:rPr>
          <w:b w:val="0"/>
          <w:i w:val="0"/>
        </w:rPr>
        <w:t>During the term of the contract and for twelve months thereafter, neither party will solicit employees of the other party who were involved in performing the contract, including through third parties. For each breach, a contractual penalty of twelve times the last gross monthly salary of the employee concerned is payable.</w:t>
      </w:r>
    </w:p>
    <w:p>
      <w:pPr>
        <w:pStyle w:val="Heading1"/>
      </w:pPr>
      <w:r>
        <w:rPr>
          <w:b w:val="0"/>
          <w:i w:val="0"/>
        </w:rPr>
        <w:t>18. Force majeure</w:t>
      </w:r>
    </w:p>
    <w:p>
      <w:r>
        <w:rPr>
          <w:b w:val="0"/>
          <w:i w:val="0"/>
        </w:rPr>
        <w:t>Events beyond a party’s control, such as war, terrorism, natural disasters, fire, strikes, embargoes, official intervention, failure of power supply, telecommunications networks or third-party services, release that party from its obligation to perform for their duration and do not constitute a breach of contract.</w:t>
      </w:r>
    </w:p>
    <w:p>
      <w:pPr>
        <w:pStyle w:val="Heading1"/>
      </w:pPr>
      <w:r>
        <w:rPr>
          <w:b w:val="0"/>
          <w:i w:val="0"/>
        </w:rPr>
        <w:t>19. Final provisions</w:t>
      </w:r>
    </w:p>
    <w:p>
      <w:r>
        <w:rPr>
          <w:b/>
          <w:i w:val="0"/>
        </w:rPr>
        <w:t>19.1</w:t>
      </w:r>
      <w:r>
        <w:rPr>
          <w:b w:val="0"/>
          <w:i w:val="0"/>
        </w:rPr>
        <w:t xml:space="preserve"> Amendments and additions to the contract must be made in writing; e-mail is sufficient. This also applies to any waiver of this form requirement.</w:t>
      </w:r>
    </w:p>
    <w:p>
      <w:r>
        <w:rPr>
          <w:b/>
          <w:i w:val="0"/>
        </w:rPr>
        <w:t>19.2</w:t>
      </w:r>
      <w:r>
        <w:rPr>
          <w:b w:val="0"/>
          <w:i w:val="0"/>
        </w:rPr>
        <w:t xml:space="preserve"> The transfer of rights and obligations under the contract requires the prior written consent of the other party. The Contractor may transfer the contract to an affiliated company without consent.</w:t>
      </w:r>
    </w:p>
    <w:p>
      <w:r>
        <w:rPr>
          <w:b/>
          <w:i w:val="0"/>
        </w:rPr>
        <w:t>19.3</w:t>
      </w:r>
      <w:r>
        <w:rPr>
          <w:b w:val="0"/>
          <w:i w:val="0"/>
        </w:rPr>
        <w:t xml:space="preserve"> If a provision is invalid, the remainder of the contract remains valid. It is replaced by a valid provision that comes closest to its economic purpose.</w:t>
      </w:r>
    </w:p>
    <w:p>
      <w:r>
        <w:rPr>
          <w:b/>
          <w:i w:val="0"/>
        </w:rPr>
        <w:t>19.4</w:t>
      </w:r>
      <w:r>
        <w:rPr>
          <w:b w:val="0"/>
          <w:i w:val="0"/>
        </w:rPr>
        <w:t xml:space="preserve"> In the event of disputes, the parties first seek an amicable solution, at the request of either party through registered business mediators (ZivMediatG). Legal action is initiated no earlier than one month after negotiations have failed; measures to secure claims remain possible.</w:t>
      </w:r>
    </w:p>
    <w:p>
      <w:r>
        <w:rPr>
          <w:b/>
          <w:i w:val="0"/>
        </w:rPr>
        <w:t>19.5</w:t>
      </w:r>
      <w:r>
        <w:rPr>
          <w:b w:val="0"/>
          <w:i w:val="0"/>
        </w:rPr>
        <w:t xml:space="preserve"> Austrian law applies, excluding its conflict-of-law rules and the UN Convention on Contracts for the International Sale of Goods. The exclusive place of jurisdiction is the court with subject-matter jurisdiction for the Contractor’s registered office in Vienna.</w:t>
      </w:r>
    </w:p>
    <w:p>
      <w:r>
        <w:rPr>
          <w:b/>
          <w:i w:val="0"/>
        </w:rPr>
        <w:t>19.6</w:t>
      </w:r>
      <w:r>
        <w:rPr>
          <w:b w:val="0"/>
          <w:i w:val="0"/>
        </w:rPr>
        <w:t xml:space="preserve"> In case of discrepancies between the German and English versions, the German version prevails.</w:t>
      </w:r>
    </w:p>
    <w:p>
      <w:r>
        <w:rPr>
          <w:b w:val="0"/>
          <w:i w:val="0"/>
        </w:rPr>
        <w:t>As of: October 2026</w:t>
      </w:r>
    </w:p>
    <w:p>
      <w:r>
        <w:rPr>
          <w:b w:val="0"/>
          <w:i w:val="0"/>
        </w:rPr>
        <w:t>Back to top ↑</w:t>
      </w:r>
    </w:p>
    <w:p>
      <w:pPr>
        <w:pStyle w:val="Title"/>
        <w:pageBreakBefore/>
      </w:pPr>
      <w:r>
        <w:t>Request account deletion</w:t>
      </w:r>
    </w:p>
    <w:p>
      <w:r>
        <w:rPr>
          <w:b/>
          <w:color w:val="426E44"/>
          <w:sz w:val="16"/>
        </w:rPr>
        <w:t>ENGLISH</w:t>
      </w:r>
    </w:p>
    <w:p>
      <w:pPr>
        <w:pStyle w:val="Heading1"/>
      </w:pPr>
      <w:r>
        <w:rPr>
          <w:b w:val="0"/>
          <w:i w:val="0"/>
        </w:rPr>
        <w:t>Delete an individual account or request company deletion</w:t>
      </w:r>
    </w:p>
    <w:p>
      <w:r>
        <w:rPr>
          <w:b w:val="0"/>
          <w:i w:val="0"/>
        </w:rPr>
        <w:t>Your email app will open with a draft. You must send it yourself. Opening the email does not send a request or delete your account.</w:t>
      </w:r>
    </w:p>
    <w:p>
      <w:r>
        <w:rPr>
          <w:b w:val="0"/>
          <w:i w:val="0"/>
        </w:rPr>
        <w:t xml:space="preserve">You can delete your own individual user account directly in the app. </w:t>
      </w:r>
      <w:r>
        <w:rPr>
          <w:b/>
          <w:i w:val="0"/>
        </w:rPr>
        <w:t>Deletion of an entire customer company must be requested in the app</w:t>
      </w:r>
      <w:r>
        <w:rPr>
          <w:b w:val="0"/>
          <w:i w:val="0"/>
        </w:rPr>
        <w:t xml:space="preserve">. The Necesso team completes the company deletion in the active system </w:t>
      </w:r>
      <w:r>
        <w:rPr>
          <w:b/>
          <w:i w:val="0"/>
        </w:rPr>
        <w:t>within 30 days of receiving the request</w:t>
      </w:r>
      <w:r>
        <w:rPr>
          <w:b w:val="0"/>
          <w:i w:val="0"/>
        </w:rPr>
        <w:t xml:space="preserve">, subject to statutory retention obligations. You may alternatively submit the request through this website or by email to </w:t>
      </w:r>
      <w:r>
        <w:rPr>
          <w:b w:val="0"/>
          <w:i w:val="0"/>
        </w:rPr>
        <w:t>office@necesso.ai</w:t>
      </w:r>
      <w:r>
        <w:rPr>
          <w:b w:val="0"/>
          <w:i w:val="0"/>
        </w:rPr>
        <w:t>. Data may remain in older backups in accordance with their retention periods.</w:t>
      </w:r>
    </w:p>
    <w:p>
      <w:r>
        <w:rPr>
          <w:b w:val="0"/>
          <w:i w:val="0"/>
        </w:rPr>
        <w:t>Request company deletion by email ↗</w:t>
      </w:r>
    </w:p>
    <w:p>
      <w:r>
        <w:rPr>
          <w:b w:val="0"/>
          <w:i w:val="0"/>
        </w:rPr>
        <w:t>Where possible, send the request from the email address associated with your account. Do not include passwords or copies of identity documents.</w:t>
      </w:r>
    </w:p>
    <w:p>
      <w:r>
        <w:rPr>
          <w:b w:val="0"/>
          <w:i w:val="0"/>
        </w:rPr>
        <w:t xml:space="preserve">Information about deletion, retention and handling of your data is provided in our </w:t>
      </w:r>
      <w:r>
        <w:rPr>
          <w:b w:val="0"/>
          <w:i w:val="0"/>
        </w:rPr>
        <w:t>privacy policy (German original)</w:t>
      </w:r>
      <w:r>
        <w:rPr>
          <w:b w:val="0"/>
          <w:i w:val="0"/>
        </w:rPr>
        <w:t>.</w:t>
      </w:r>
    </w:p>
    <w:p>
      <w:r>
        <w:rPr>
          <w:b w:val="0"/>
          <w:i w:val="0"/>
        </w:rPr>
        <w:t>Contact</w:t>
      </w:r>
      <w:r>
        <w:rPr>
          <w:b w:val="0"/>
          <w:i w:val="0"/>
        </w:rPr>
        <w:t>office@necesso.ai</w:t>
      </w:r>
    </w:p>
    <w:sectPr w:rsidR="00FC693F" w:rsidRPr="0006063C" w:rsidSect="00034616">
      <w:headerReference w:type="default" r:id="rId9"/>
      <w:footerReference w:type="default" r:id="rId10"/>
      <w:pgSz w:w="12240" w:h="15840"/>
      <w:pgMar w:top="1094" w:right="1181" w:bottom="1051"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29 October 2026 · Necesso public legal texts · DE / 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NECESSO  /  LEGAL &amp; DATA SECURITY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olor w:val="1F2E2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Theme="majorHAnsi" w:eastAsiaTheme="majorEastAsia" w:hAnsiTheme="majorHAnsi" w:cstheme="majorBidi" w:ascii="Aptos Display" w:hAnsi="Aptos Display"/>
      <w:b/>
      <w:bCs/>
      <w:color w:val="25532D"/>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ptos Display" w:hAnsi="Aptos Display"/>
      <w:b/>
      <w:bCs/>
      <w:color w:val="25532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60" w:line="240" w:lineRule="auto" w:before="0"/>
      <w:contextualSpacing/>
    </w:pPr>
    <w:rPr>
      <w:rFonts w:asciiTheme="majorHAnsi" w:eastAsiaTheme="majorEastAsia" w:hAnsiTheme="majorHAnsi" w:cstheme="majorBidi" w:ascii="Aptos Display" w:hAnsi="Aptos Display"/>
      <w:b/>
      <w:color w:val="25532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Necesso – Legal website texts / Website-Rechtstexte</dc:title>
  <dc:subject>Website legal disclosures, 29 October 2026</dc:subject>
  <dc:creator>Necesso</dc:creator>
  <cp:keywords/>
  <dc:description>generated by python-docx</dc:description>
  <cp:lastModifiedBy/>
  <cp:revision>1</cp:revision>
  <dcterms:created xsi:type="dcterms:W3CDTF">2013-12-23T23:15:00Z</dcterms:created>
  <dcterms:modified xsi:type="dcterms:W3CDTF">2013-12-23T23:15:00Z</dcterms:modified>
  <cp:category/>
</cp:coreProperties>
</file>